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9055F" w14:textId="77777777" w:rsidR="007A584F" w:rsidRDefault="00CE07B1">
      <w:pPr>
        <w:spacing w:before="75"/>
        <w:ind w:left="360"/>
        <w:rPr>
          <w:sz w:val="28"/>
        </w:rPr>
      </w:pPr>
      <w:r>
        <w:rPr>
          <w:color w:val="404040"/>
          <w:sz w:val="28"/>
        </w:rPr>
        <w:t>Cost</w:t>
      </w:r>
      <w:r>
        <w:rPr>
          <w:color w:val="404040"/>
          <w:spacing w:val="41"/>
          <w:sz w:val="28"/>
        </w:rPr>
        <w:t xml:space="preserve"> </w:t>
      </w:r>
      <w:r>
        <w:rPr>
          <w:color w:val="404040"/>
          <w:sz w:val="28"/>
        </w:rPr>
        <w:t>Transfers,</w:t>
      </w:r>
      <w:r>
        <w:rPr>
          <w:color w:val="404040"/>
          <w:spacing w:val="44"/>
          <w:sz w:val="28"/>
        </w:rPr>
        <w:t xml:space="preserve"> </w:t>
      </w:r>
      <w:r>
        <w:rPr>
          <w:color w:val="404040"/>
          <w:sz w:val="28"/>
        </w:rPr>
        <w:t>Non-</w:t>
      </w:r>
      <w:r>
        <w:rPr>
          <w:color w:val="404040"/>
          <w:spacing w:val="-2"/>
          <w:sz w:val="28"/>
        </w:rPr>
        <w:t>Payroll</w:t>
      </w:r>
    </w:p>
    <w:p w14:paraId="1DAFE0E9" w14:textId="77777777" w:rsidR="007A584F" w:rsidRDefault="00CE07B1">
      <w:pPr>
        <w:pStyle w:val="BodyText"/>
        <w:spacing w:before="2"/>
        <w:rPr>
          <w:sz w:val="4"/>
        </w:rPr>
      </w:pPr>
      <w:r>
        <w:rPr>
          <w:noProof/>
          <w:sz w:val="4"/>
        </w:rPr>
        <mc:AlternateContent>
          <mc:Choice Requires="wps">
            <w:drawing>
              <wp:anchor distT="0" distB="0" distL="0" distR="0" simplePos="0" relativeHeight="487587840" behindDoc="1" locked="0" layoutInCell="1" allowOverlap="1" wp14:anchorId="77D3E43A" wp14:editId="16E77BD6">
                <wp:simplePos x="0" y="0"/>
                <wp:positionH relativeFrom="page">
                  <wp:posOffset>896111</wp:posOffset>
                </wp:positionH>
                <wp:positionV relativeFrom="paragraph">
                  <wp:posOffset>47815</wp:posOffset>
                </wp:positionV>
                <wp:extent cx="5980430" cy="1270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0"/>
                        </a:xfrm>
                        <a:custGeom>
                          <a:avLst/>
                          <a:gdLst/>
                          <a:ahLst/>
                          <a:cxnLst/>
                          <a:rect l="l" t="t" r="r" b="b"/>
                          <a:pathLst>
                            <a:path w="5980430" h="12700">
                              <a:moveTo>
                                <a:pt x="5980176" y="0"/>
                              </a:moveTo>
                              <a:lnTo>
                                <a:pt x="0" y="0"/>
                              </a:lnTo>
                              <a:lnTo>
                                <a:pt x="0" y="12192"/>
                              </a:lnTo>
                              <a:lnTo>
                                <a:pt x="5980176" y="12192"/>
                              </a:lnTo>
                              <a:lnTo>
                                <a:pt x="5980176" y="0"/>
                              </a:lnTo>
                              <a:close/>
                            </a:path>
                          </a:pathLst>
                        </a:custGeom>
                        <a:solidFill>
                          <a:srgbClr val="F1B82D"/>
                        </a:solidFill>
                      </wps:spPr>
                      <wps:bodyPr wrap="square" lIns="0" tIns="0" rIns="0" bIns="0" rtlCol="0">
                        <a:prstTxWarp prst="textNoShape">
                          <a:avLst/>
                        </a:prstTxWarp>
                        <a:noAutofit/>
                      </wps:bodyPr>
                    </wps:wsp>
                  </a:graphicData>
                </a:graphic>
              </wp:anchor>
            </w:drawing>
          </mc:Choice>
          <mc:Fallback>
            <w:pict>
              <v:shape w14:anchorId="7DC5F6BC" id="Graphic 1" o:spid="_x0000_s1026" style="position:absolute;margin-left:70.55pt;margin-top:3.75pt;width:470.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" path="m5980176,l,,,12192r5980176,l5980176,xe" fillcolor="#f1b82d" stroked="f">
                <v:path arrowok="t"/>
                <w10:wrap type="topAndBottom" anchorx="page"/>
              </v:shape>
            </w:pict>
          </mc:Fallback>
        </mc:AlternateContent>
      </w:r>
    </w:p>
    <w:p w14:paraId="7F54047C" w14:textId="77777777" w:rsidR="007A584F" w:rsidRDefault="007A584F">
      <w:pPr>
        <w:pStyle w:val="BodyText"/>
        <w:spacing w:before="9"/>
        <w:rPr>
          <w:sz w:val="24"/>
        </w:rPr>
      </w:pPr>
    </w:p>
    <w:p w14:paraId="553D11F1" w14:textId="77777777" w:rsidR="007A584F" w:rsidRPr="00CE07B1" w:rsidRDefault="00CE07B1">
      <w:pPr>
        <w:pStyle w:val="Heading2"/>
      </w:pPr>
      <w:bookmarkStart w:id="0" w:name="Policies"/>
      <w:bookmarkEnd w:id="0"/>
      <w:r w:rsidRPr="00CE07B1">
        <w:rPr>
          <w:spacing w:val="-2"/>
        </w:rPr>
        <w:t>Policies</w:t>
      </w:r>
    </w:p>
    <w:p w14:paraId="6A076372" w14:textId="7123CAC6" w:rsidR="00BF6978" w:rsidRDefault="00BF6978">
      <w:pPr>
        <w:pStyle w:val="BodyText"/>
        <w:spacing w:before="41" w:line="278" w:lineRule="auto"/>
        <w:ind w:left="360" w:right="1850"/>
      </w:pPr>
      <w:r>
        <w:t xml:space="preserve">Business Policy and Procedure Manual: </w:t>
      </w:r>
      <w:hyperlink r:id="rId5" w:history="1">
        <w:r w:rsidRPr="00AB0B58">
          <w:rPr>
            <w:rStyle w:val="Hyperlink"/>
          </w:rPr>
          <w:t>BPPM 2:005</w:t>
        </w:r>
      </w:hyperlink>
      <w:r>
        <w:t>, Departmental Fiscal Oversight</w:t>
      </w:r>
    </w:p>
    <w:p w14:paraId="22E61EFF" w14:textId="7F6F406C" w:rsidR="007A584F" w:rsidRDefault="00CE07B1">
      <w:pPr>
        <w:pStyle w:val="BodyText"/>
        <w:spacing w:before="41" w:line="278" w:lineRule="auto"/>
        <w:ind w:left="360" w:right="1850"/>
      </w:pPr>
      <w:r>
        <w:t xml:space="preserve">Business Policy and Procedure Manual: </w:t>
      </w:r>
      <w:hyperlink r:id="rId6">
        <w:r>
          <w:rPr>
            <w:color w:val="0000FF"/>
            <w:u w:val="single" w:color="0000FF"/>
          </w:rPr>
          <w:t>BPPM 2:190</w:t>
        </w:r>
        <w:r>
          <w:t>,</w:t>
        </w:r>
      </w:hyperlink>
      <w:r>
        <w:t xml:space="preserve"> Journal Entries</w:t>
      </w:r>
    </w:p>
    <w:p w14:paraId="713FEB4F" w14:textId="77777777" w:rsidR="007A584F" w:rsidRPr="00CE07B1" w:rsidRDefault="00CE07B1">
      <w:pPr>
        <w:pStyle w:val="Heading2"/>
        <w:spacing w:before="199"/>
      </w:pPr>
      <w:bookmarkStart w:id="1" w:name="Forms"/>
      <w:bookmarkEnd w:id="1"/>
      <w:r w:rsidRPr="00CE07B1">
        <w:rPr>
          <w:spacing w:val="-2"/>
        </w:rPr>
        <w:t>Forms</w:t>
      </w:r>
    </w:p>
    <w:p w14:paraId="3C332B43" w14:textId="77777777" w:rsidR="007A584F" w:rsidRDefault="00CE07B1">
      <w:pPr>
        <w:pStyle w:val="BodyText"/>
        <w:spacing w:before="44"/>
        <w:ind w:left="360"/>
      </w:pPr>
      <w:bookmarkStart w:id="2" w:name="None"/>
      <w:bookmarkEnd w:id="2"/>
      <w:r>
        <w:rPr>
          <w:spacing w:val="-4"/>
        </w:rPr>
        <w:t>None</w:t>
      </w:r>
    </w:p>
    <w:p w14:paraId="120F8308" w14:textId="77777777" w:rsidR="007A584F" w:rsidRPr="00CE07B1" w:rsidRDefault="00CE07B1">
      <w:pPr>
        <w:pStyle w:val="Heading2"/>
        <w:spacing w:before="238"/>
      </w:pPr>
      <w:bookmarkStart w:id="3" w:name="Overview"/>
      <w:bookmarkEnd w:id="3"/>
      <w:r w:rsidRPr="00CE07B1">
        <w:rPr>
          <w:spacing w:val="-2"/>
        </w:rPr>
        <w:t>Overview</w:t>
      </w:r>
    </w:p>
    <w:p w14:paraId="78228DA3" w14:textId="77777777" w:rsidR="007A584F" w:rsidRDefault="00CE07B1">
      <w:pPr>
        <w:pStyle w:val="BodyText"/>
        <w:spacing w:before="43" w:line="276" w:lineRule="auto"/>
        <w:ind w:left="360" w:right="394"/>
      </w:pPr>
      <w:r>
        <w:t>A cost transfer is a reallocation of costs after the initial transaction has occurred. Cost transfers occur</w:t>
      </w:r>
      <w:r>
        <w:rPr>
          <w:spacing w:val="-3"/>
        </w:rPr>
        <w:t xml:space="preserve"> </w:t>
      </w:r>
      <w:r>
        <w:t>in</w:t>
      </w:r>
      <w:r>
        <w:rPr>
          <w:spacing w:val="-2"/>
        </w:rPr>
        <w:t xml:space="preserve"> </w:t>
      </w:r>
      <w:r>
        <w:t>the</w:t>
      </w:r>
      <w:r>
        <w:rPr>
          <w:spacing w:val="-2"/>
        </w:rPr>
        <w:t xml:space="preserve"> </w:t>
      </w:r>
      <w:r>
        <w:t>regular</w:t>
      </w:r>
      <w:r>
        <w:rPr>
          <w:spacing w:val="-3"/>
        </w:rPr>
        <w:t xml:space="preserve"> </w:t>
      </w:r>
      <w:r>
        <w:t>course</w:t>
      </w:r>
      <w:r>
        <w:rPr>
          <w:spacing w:val="-2"/>
        </w:rPr>
        <w:t xml:space="preserve"> </w:t>
      </w:r>
      <w:r>
        <w:t>of</w:t>
      </w:r>
      <w:r>
        <w:rPr>
          <w:spacing w:val="-3"/>
        </w:rPr>
        <w:t xml:space="preserve"> </w:t>
      </w:r>
      <w:r>
        <w:t>business</w:t>
      </w:r>
      <w:r>
        <w:rPr>
          <w:spacing w:val="-3"/>
        </w:rPr>
        <w:t xml:space="preserve"> </w:t>
      </w:r>
      <w:r>
        <w:t>for</w:t>
      </w:r>
      <w:r>
        <w:rPr>
          <w:spacing w:val="-3"/>
        </w:rPr>
        <w:t xml:space="preserve"> </w:t>
      </w:r>
      <w:r>
        <w:t>two</w:t>
      </w:r>
      <w:r>
        <w:rPr>
          <w:spacing w:val="-3"/>
        </w:rPr>
        <w:t xml:space="preserve"> </w:t>
      </w:r>
      <w:r>
        <w:t>reasons:</w:t>
      </w:r>
      <w:r>
        <w:rPr>
          <w:spacing w:val="-3"/>
        </w:rPr>
        <w:t xml:space="preserve"> </w:t>
      </w:r>
      <w:r>
        <w:t>(1)</w:t>
      </w:r>
      <w:r>
        <w:rPr>
          <w:spacing w:val="-4"/>
        </w:rPr>
        <w:t xml:space="preserve"> </w:t>
      </w:r>
      <w:r>
        <w:t>to</w:t>
      </w:r>
      <w:r>
        <w:rPr>
          <w:spacing w:val="-3"/>
        </w:rPr>
        <w:t xml:space="preserve"> </w:t>
      </w:r>
      <w:r>
        <w:t>properly</w:t>
      </w:r>
      <w:r>
        <w:rPr>
          <w:spacing w:val="-4"/>
        </w:rPr>
        <w:t xml:space="preserve"> </w:t>
      </w:r>
      <w:r>
        <w:t>allocate</w:t>
      </w:r>
      <w:r>
        <w:rPr>
          <w:spacing w:val="-2"/>
        </w:rPr>
        <w:t xml:space="preserve"> </w:t>
      </w:r>
      <w:r>
        <w:t>multi-business</w:t>
      </w:r>
      <w:r>
        <w:rPr>
          <w:spacing w:val="-3"/>
        </w:rPr>
        <w:t xml:space="preserve"> </w:t>
      </w:r>
      <w:r>
        <w:t>unit expenses, and (2) to correct clerical or bookkeeping errors. Cost transfers are not appropriate</w:t>
      </w:r>
      <w:r>
        <w:rPr>
          <w:spacing w:val="40"/>
        </w:rPr>
        <w:t xml:space="preserve"> </w:t>
      </w:r>
      <w:r>
        <w:t>for (1) spending out an unused award budget, (2) covering cost overruns, (3) avoiding restrictions imposed by law or other agreements, or (4) other reasons of convenience.</w:t>
      </w:r>
    </w:p>
    <w:p w14:paraId="60A0AE35" w14:textId="77777777" w:rsidR="007A584F" w:rsidRDefault="007A584F">
      <w:pPr>
        <w:pStyle w:val="BodyText"/>
        <w:spacing w:before="37"/>
      </w:pPr>
    </w:p>
    <w:p w14:paraId="0F481B2C" w14:textId="77777777" w:rsidR="007A584F" w:rsidRDefault="00CE07B1">
      <w:pPr>
        <w:pStyle w:val="BodyText"/>
        <w:spacing w:line="276" w:lineRule="auto"/>
        <w:ind w:left="359" w:right="337"/>
      </w:pPr>
      <w:r>
        <w:t>Any</w:t>
      </w:r>
      <w:r>
        <w:rPr>
          <w:spacing w:val="-3"/>
        </w:rPr>
        <w:t xml:space="preserve"> </w:t>
      </w:r>
      <w:r>
        <w:t>correction</w:t>
      </w:r>
      <w:r>
        <w:rPr>
          <w:spacing w:val="-1"/>
        </w:rPr>
        <w:t xml:space="preserve"> </w:t>
      </w:r>
      <w:r>
        <w:t>of</w:t>
      </w:r>
      <w:r>
        <w:rPr>
          <w:spacing w:val="-2"/>
        </w:rPr>
        <w:t xml:space="preserve"> </w:t>
      </w:r>
      <w:r>
        <w:t>income</w:t>
      </w:r>
      <w:r>
        <w:rPr>
          <w:spacing w:val="-1"/>
        </w:rPr>
        <w:t xml:space="preserve"> </w:t>
      </w:r>
      <w:r>
        <w:t>and/or</w:t>
      </w:r>
      <w:r>
        <w:rPr>
          <w:spacing w:val="-2"/>
        </w:rPr>
        <w:t xml:space="preserve"> </w:t>
      </w:r>
      <w:r>
        <w:t>expense</w:t>
      </w:r>
      <w:r>
        <w:rPr>
          <w:spacing w:val="-1"/>
        </w:rPr>
        <w:t xml:space="preserve"> </w:t>
      </w:r>
      <w:r>
        <w:t>items</w:t>
      </w:r>
      <w:r>
        <w:rPr>
          <w:spacing w:val="-2"/>
        </w:rPr>
        <w:t xml:space="preserve"> </w:t>
      </w:r>
      <w:r>
        <w:t>between</w:t>
      </w:r>
      <w:r>
        <w:rPr>
          <w:spacing w:val="-1"/>
        </w:rPr>
        <w:t xml:space="preserve"> </w:t>
      </w:r>
      <w:proofErr w:type="spellStart"/>
      <w:r>
        <w:t>Chartfields</w:t>
      </w:r>
      <w:proofErr w:type="spellEnd"/>
      <w:r>
        <w:rPr>
          <w:spacing w:val="-2"/>
        </w:rPr>
        <w:t xml:space="preserve"> </w:t>
      </w:r>
      <w:r>
        <w:t>should</w:t>
      </w:r>
      <w:r>
        <w:rPr>
          <w:spacing w:val="-1"/>
        </w:rPr>
        <w:t xml:space="preserve"> </w:t>
      </w:r>
      <w:r>
        <w:t>be</w:t>
      </w:r>
      <w:r>
        <w:rPr>
          <w:spacing w:val="-2"/>
        </w:rPr>
        <w:t xml:space="preserve"> </w:t>
      </w:r>
      <w:r>
        <w:t>within</w:t>
      </w:r>
      <w:r>
        <w:rPr>
          <w:spacing w:val="-3"/>
        </w:rPr>
        <w:t xml:space="preserve"> </w:t>
      </w:r>
      <w:r>
        <w:t>two</w:t>
      </w:r>
      <w:r>
        <w:rPr>
          <w:spacing w:val="-2"/>
        </w:rPr>
        <w:t xml:space="preserve"> </w:t>
      </w:r>
      <w:r>
        <w:t>(2) accounting periods (months) after the end of the accounting period in which the original transaction</w:t>
      </w:r>
      <w:r>
        <w:rPr>
          <w:spacing w:val="-2"/>
        </w:rPr>
        <w:t xml:space="preserve"> </w:t>
      </w:r>
      <w:r>
        <w:t>was</w:t>
      </w:r>
      <w:r>
        <w:rPr>
          <w:spacing w:val="-3"/>
        </w:rPr>
        <w:t xml:space="preserve"> </w:t>
      </w:r>
      <w:r>
        <w:t>posted.</w:t>
      </w:r>
      <w:r>
        <w:rPr>
          <w:spacing w:val="-3"/>
        </w:rPr>
        <w:t xml:space="preserve"> </w:t>
      </w:r>
      <w:r>
        <w:t>Every</w:t>
      </w:r>
      <w:r>
        <w:rPr>
          <w:spacing w:val="-4"/>
        </w:rPr>
        <w:t xml:space="preserve"> </w:t>
      </w:r>
      <w:r>
        <w:t>effort</w:t>
      </w:r>
      <w:r>
        <w:rPr>
          <w:spacing w:val="-1"/>
        </w:rPr>
        <w:t xml:space="preserve"> </w:t>
      </w:r>
      <w:r>
        <w:t>should</w:t>
      </w:r>
      <w:r>
        <w:rPr>
          <w:spacing w:val="-2"/>
        </w:rPr>
        <w:t xml:space="preserve"> </w:t>
      </w:r>
      <w:r>
        <w:t>be</w:t>
      </w:r>
      <w:r>
        <w:rPr>
          <w:spacing w:val="-2"/>
        </w:rPr>
        <w:t xml:space="preserve"> </w:t>
      </w:r>
      <w:r>
        <w:t>made</w:t>
      </w:r>
      <w:r>
        <w:rPr>
          <w:spacing w:val="-2"/>
        </w:rPr>
        <w:t xml:space="preserve"> </w:t>
      </w:r>
      <w:r>
        <w:t>to</w:t>
      </w:r>
      <w:r>
        <w:rPr>
          <w:spacing w:val="-3"/>
        </w:rPr>
        <w:t xml:space="preserve"> </w:t>
      </w:r>
      <w:r>
        <w:t>record</w:t>
      </w:r>
      <w:r>
        <w:rPr>
          <w:spacing w:val="-2"/>
        </w:rPr>
        <w:t xml:space="preserve"> </w:t>
      </w:r>
      <w:r>
        <w:t>corrections</w:t>
      </w:r>
      <w:r>
        <w:rPr>
          <w:spacing w:val="-3"/>
        </w:rPr>
        <w:t xml:space="preserve"> </w:t>
      </w:r>
      <w:r>
        <w:t>in</w:t>
      </w:r>
      <w:r>
        <w:rPr>
          <w:spacing w:val="-2"/>
        </w:rPr>
        <w:t xml:space="preserve"> </w:t>
      </w:r>
      <w:r>
        <w:t>the</w:t>
      </w:r>
      <w:r>
        <w:rPr>
          <w:spacing w:val="-3"/>
        </w:rPr>
        <w:t xml:space="preserve"> </w:t>
      </w:r>
      <w:r>
        <w:t>fiscal</w:t>
      </w:r>
      <w:r>
        <w:rPr>
          <w:spacing w:val="-2"/>
        </w:rPr>
        <w:t xml:space="preserve"> </w:t>
      </w:r>
      <w:r>
        <w:t>year</w:t>
      </w:r>
      <w:r>
        <w:rPr>
          <w:spacing w:val="-3"/>
        </w:rPr>
        <w:t xml:space="preserve"> </w:t>
      </w:r>
      <w:r>
        <w:t>in which the original entry occurred.</w:t>
      </w:r>
    </w:p>
    <w:p w14:paraId="5C471A62" w14:textId="77777777" w:rsidR="007A584F" w:rsidRDefault="007A584F">
      <w:pPr>
        <w:pStyle w:val="BodyText"/>
        <w:spacing w:before="36"/>
      </w:pPr>
    </w:p>
    <w:p w14:paraId="2ECC12AB" w14:textId="77777777" w:rsidR="007A584F" w:rsidRDefault="00CE07B1">
      <w:pPr>
        <w:pStyle w:val="BodyText"/>
        <w:spacing w:line="276" w:lineRule="auto"/>
        <w:ind w:left="359" w:right="355"/>
      </w:pPr>
      <w:r>
        <w:t>Federal</w:t>
      </w:r>
      <w:r>
        <w:rPr>
          <w:spacing w:val="-4"/>
        </w:rPr>
        <w:t xml:space="preserve"> </w:t>
      </w:r>
      <w:r>
        <w:t>regulations</w:t>
      </w:r>
      <w:r>
        <w:rPr>
          <w:spacing w:val="-5"/>
        </w:rPr>
        <w:t xml:space="preserve"> </w:t>
      </w:r>
      <w:r>
        <w:t>stipulate</w:t>
      </w:r>
      <w:r>
        <w:rPr>
          <w:spacing w:val="-4"/>
        </w:rPr>
        <w:t xml:space="preserve"> </w:t>
      </w:r>
      <w:r>
        <w:t>that</w:t>
      </w:r>
      <w:r>
        <w:rPr>
          <w:spacing w:val="-3"/>
        </w:rPr>
        <w:t xml:space="preserve"> </w:t>
      </w:r>
      <w:r>
        <w:t>appropriate</w:t>
      </w:r>
      <w:r>
        <w:rPr>
          <w:spacing w:val="-4"/>
        </w:rPr>
        <w:t xml:space="preserve"> </w:t>
      </w:r>
      <w:r>
        <w:t>justification</w:t>
      </w:r>
      <w:r>
        <w:rPr>
          <w:spacing w:val="-4"/>
        </w:rPr>
        <w:t xml:space="preserve"> </w:t>
      </w:r>
      <w:r>
        <w:t>must</w:t>
      </w:r>
      <w:r>
        <w:rPr>
          <w:spacing w:val="-3"/>
        </w:rPr>
        <w:t xml:space="preserve"> </w:t>
      </w:r>
      <w:r>
        <w:t>be</w:t>
      </w:r>
      <w:r>
        <w:rPr>
          <w:spacing w:val="-4"/>
        </w:rPr>
        <w:t xml:space="preserve"> </w:t>
      </w:r>
      <w:r>
        <w:t>documented</w:t>
      </w:r>
      <w:r>
        <w:rPr>
          <w:spacing w:val="-4"/>
        </w:rPr>
        <w:t xml:space="preserve"> </w:t>
      </w:r>
      <w:r>
        <w:t>for</w:t>
      </w:r>
      <w:r>
        <w:rPr>
          <w:spacing w:val="-5"/>
        </w:rPr>
        <w:t xml:space="preserve"> </w:t>
      </w:r>
      <w:r>
        <w:t>all</w:t>
      </w:r>
      <w:r>
        <w:rPr>
          <w:spacing w:val="-4"/>
        </w:rPr>
        <w:t xml:space="preserve"> </w:t>
      </w:r>
      <w:r>
        <w:t>correcting entries (CE). Sufficient documentation includes the following: (1) justification as to why the transfer is necessary; (2) that the charge is allowable and allocable, directly benefits the award, and is within the period of availability; (3) that appropriate approvals are secured;</w:t>
      </w:r>
      <w:r>
        <w:rPr>
          <w:spacing w:val="-1"/>
        </w:rPr>
        <w:t xml:space="preserve"> </w:t>
      </w:r>
      <w:r>
        <w:t>and (4) in the case of error, how the error will be avoided in the future.</w:t>
      </w:r>
    </w:p>
    <w:p w14:paraId="65F507A1" w14:textId="77777777" w:rsidR="007A584F" w:rsidRPr="00CE07B1" w:rsidRDefault="00CE07B1">
      <w:pPr>
        <w:pStyle w:val="Heading1"/>
      </w:pPr>
      <w:bookmarkStart w:id="4" w:name="Risk"/>
      <w:bookmarkEnd w:id="4"/>
      <w:r w:rsidRPr="00CE07B1">
        <w:rPr>
          <w:spacing w:val="-4"/>
        </w:rPr>
        <w:t>Risk</w:t>
      </w:r>
    </w:p>
    <w:p w14:paraId="04329FB5" w14:textId="77777777" w:rsidR="007A584F" w:rsidRDefault="00CE07B1">
      <w:pPr>
        <w:pStyle w:val="BodyText"/>
        <w:spacing w:before="46" w:line="276" w:lineRule="auto"/>
        <w:ind w:left="360"/>
      </w:pPr>
      <w:bookmarkStart w:id="5" w:name="Inappropriate_transfers_could_result_in_"/>
      <w:bookmarkEnd w:id="5"/>
      <w:r>
        <w:t>Inappropriate transfers could result in the disallowance of certain expenditures and/or possible reduction</w:t>
      </w:r>
      <w:r>
        <w:rPr>
          <w:spacing w:val="-3"/>
        </w:rPr>
        <w:t xml:space="preserve"> </w:t>
      </w:r>
      <w:r>
        <w:t>in</w:t>
      </w:r>
      <w:r>
        <w:rPr>
          <w:spacing w:val="-3"/>
        </w:rPr>
        <w:t xml:space="preserve"> </w:t>
      </w:r>
      <w:r>
        <w:t>funding</w:t>
      </w:r>
      <w:r>
        <w:rPr>
          <w:spacing w:val="-3"/>
        </w:rPr>
        <w:t xml:space="preserve"> </w:t>
      </w:r>
      <w:r>
        <w:t>from</w:t>
      </w:r>
      <w:r>
        <w:rPr>
          <w:spacing w:val="-2"/>
        </w:rPr>
        <w:t xml:space="preserve"> </w:t>
      </w:r>
      <w:r>
        <w:t>the</w:t>
      </w:r>
      <w:r>
        <w:rPr>
          <w:spacing w:val="-3"/>
        </w:rPr>
        <w:t xml:space="preserve"> </w:t>
      </w:r>
      <w:r>
        <w:t>sponsor</w:t>
      </w:r>
      <w:r>
        <w:rPr>
          <w:spacing w:val="-4"/>
        </w:rPr>
        <w:t xml:space="preserve"> </w:t>
      </w:r>
      <w:r>
        <w:t>agency.</w:t>
      </w:r>
      <w:r>
        <w:rPr>
          <w:spacing w:val="-6"/>
        </w:rPr>
        <w:t xml:space="preserve"> </w:t>
      </w:r>
      <w:r>
        <w:t>Inappropriate</w:t>
      </w:r>
      <w:r>
        <w:rPr>
          <w:spacing w:val="-3"/>
        </w:rPr>
        <w:t xml:space="preserve"> </w:t>
      </w:r>
      <w:r>
        <w:t>transfers</w:t>
      </w:r>
      <w:r>
        <w:rPr>
          <w:spacing w:val="-4"/>
        </w:rPr>
        <w:t xml:space="preserve"> </w:t>
      </w:r>
      <w:r>
        <w:t>could</w:t>
      </w:r>
      <w:r>
        <w:rPr>
          <w:spacing w:val="-3"/>
        </w:rPr>
        <w:t xml:space="preserve"> </w:t>
      </w:r>
      <w:r>
        <w:t>also</w:t>
      </w:r>
      <w:r>
        <w:rPr>
          <w:spacing w:val="-4"/>
        </w:rPr>
        <w:t xml:space="preserve"> </w:t>
      </w:r>
      <w:r>
        <w:t>jeopardize</w:t>
      </w:r>
      <w:r>
        <w:rPr>
          <w:spacing w:val="-3"/>
        </w:rPr>
        <w:t xml:space="preserve"> </w:t>
      </w:r>
      <w:r>
        <w:t>the reputation of the University and result in fines and sanctions.</w:t>
      </w:r>
    </w:p>
    <w:p w14:paraId="25258BAB" w14:textId="77777777" w:rsidR="007A584F" w:rsidRPr="00CE07B1" w:rsidRDefault="00CE07B1">
      <w:pPr>
        <w:pStyle w:val="Heading2"/>
        <w:spacing w:before="201"/>
      </w:pPr>
      <w:bookmarkStart w:id="6" w:name="Procedure"/>
      <w:bookmarkEnd w:id="6"/>
      <w:r w:rsidRPr="00CE07B1">
        <w:rPr>
          <w:spacing w:val="-2"/>
        </w:rPr>
        <w:t>Procedure</w:t>
      </w:r>
    </w:p>
    <w:p w14:paraId="2C6BD958" w14:textId="77777777" w:rsidR="007A584F" w:rsidRDefault="00CE07B1">
      <w:pPr>
        <w:pStyle w:val="BodyText"/>
        <w:spacing w:before="42" w:line="276" w:lineRule="auto"/>
        <w:ind w:left="360" w:right="355"/>
      </w:pPr>
      <w:r>
        <w:rPr>
          <w:i/>
        </w:rPr>
        <w:t>Principal</w:t>
      </w:r>
      <w:r>
        <w:rPr>
          <w:i/>
          <w:spacing w:val="-2"/>
        </w:rPr>
        <w:t xml:space="preserve"> </w:t>
      </w:r>
      <w:r>
        <w:rPr>
          <w:i/>
        </w:rPr>
        <w:t>Investigator</w:t>
      </w:r>
      <w:r>
        <w:rPr>
          <w:i/>
          <w:spacing w:val="-3"/>
        </w:rPr>
        <w:t xml:space="preserve"> </w:t>
      </w:r>
      <w:r>
        <w:rPr>
          <w:i/>
        </w:rPr>
        <w:t>(PI)</w:t>
      </w:r>
      <w:r>
        <w:rPr>
          <w:i/>
          <w:spacing w:val="-4"/>
        </w:rPr>
        <w:t xml:space="preserve"> </w:t>
      </w:r>
      <w:r>
        <w:t>–</w:t>
      </w:r>
      <w:r>
        <w:rPr>
          <w:spacing w:val="-1"/>
        </w:rPr>
        <w:t xml:space="preserve"> </w:t>
      </w:r>
      <w:r>
        <w:t>The</w:t>
      </w:r>
      <w:r>
        <w:rPr>
          <w:spacing w:val="-2"/>
        </w:rPr>
        <w:t xml:space="preserve"> </w:t>
      </w:r>
      <w:r>
        <w:t>PI has</w:t>
      </w:r>
      <w:r>
        <w:rPr>
          <w:spacing w:val="-3"/>
        </w:rPr>
        <w:t xml:space="preserve"> </w:t>
      </w:r>
      <w:r>
        <w:t>the</w:t>
      </w:r>
      <w:r>
        <w:rPr>
          <w:spacing w:val="-2"/>
        </w:rPr>
        <w:t xml:space="preserve"> </w:t>
      </w:r>
      <w:r>
        <w:t>overall</w:t>
      </w:r>
      <w:r>
        <w:rPr>
          <w:spacing w:val="-2"/>
        </w:rPr>
        <w:t xml:space="preserve"> </w:t>
      </w:r>
      <w:r>
        <w:t>responsibly</w:t>
      </w:r>
      <w:r>
        <w:rPr>
          <w:spacing w:val="-4"/>
        </w:rPr>
        <w:t xml:space="preserve"> </w:t>
      </w:r>
      <w:r>
        <w:t>to</w:t>
      </w:r>
      <w:r>
        <w:rPr>
          <w:spacing w:val="-3"/>
        </w:rPr>
        <w:t xml:space="preserve"> </w:t>
      </w:r>
      <w:r>
        <w:t>review award</w:t>
      </w:r>
      <w:r>
        <w:rPr>
          <w:spacing w:val="-2"/>
        </w:rPr>
        <w:t xml:space="preserve"> </w:t>
      </w:r>
      <w:r>
        <w:t>activity</w:t>
      </w:r>
      <w:r>
        <w:rPr>
          <w:spacing w:val="-4"/>
        </w:rPr>
        <w:t xml:space="preserve"> </w:t>
      </w:r>
      <w:r>
        <w:t>to</w:t>
      </w:r>
      <w:r>
        <w:rPr>
          <w:spacing w:val="-3"/>
        </w:rPr>
        <w:t xml:space="preserve"> </w:t>
      </w:r>
      <w:r>
        <w:t>ensure</w:t>
      </w:r>
      <w:r>
        <w:rPr>
          <w:spacing w:val="-2"/>
        </w:rPr>
        <w:t xml:space="preserve"> </w:t>
      </w:r>
      <w:r>
        <w:t>all CEs are allowable and allocable to the applicable projects. In order to have proper oversight, the PI should be aware of the applicable compliance requirements. The PI should request CEs in a timely manner when corrections are needed to non-payroll expenses.</w:t>
      </w:r>
    </w:p>
    <w:p w14:paraId="407DBD9D" w14:textId="77777777" w:rsidR="007A584F" w:rsidRDefault="007A584F">
      <w:pPr>
        <w:pStyle w:val="BodyText"/>
        <w:spacing w:before="38"/>
      </w:pPr>
    </w:p>
    <w:p w14:paraId="32E0162A" w14:textId="77777777" w:rsidR="007A584F" w:rsidRDefault="00CE07B1">
      <w:pPr>
        <w:pStyle w:val="BodyText"/>
        <w:spacing w:line="276" w:lineRule="auto"/>
        <w:ind w:left="359" w:right="337"/>
      </w:pPr>
      <w:r>
        <w:rPr>
          <w:i/>
        </w:rPr>
        <w:t xml:space="preserve">Departmental Research Administrator (DRA) </w:t>
      </w:r>
      <w:r>
        <w:t>– The DRA assists the PI in ensuring that all transactions</w:t>
      </w:r>
      <w:r>
        <w:rPr>
          <w:spacing w:val="-4"/>
        </w:rPr>
        <w:t xml:space="preserve"> </w:t>
      </w:r>
      <w:r>
        <w:t>are</w:t>
      </w:r>
      <w:r>
        <w:rPr>
          <w:spacing w:val="-3"/>
        </w:rPr>
        <w:t xml:space="preserve"> </w:t>
      </w:r>
      <w:r>
        <w:t>properly</w:t>
      </w:r>
      <w:r>
        <w:rPr>
          <w:spacing w:val="-3"/>
        </w:rPr>
        <w:t xml:space="preserve"> </w:t>
      </w:r>
      <w:r>
        <w:t>recorded.</w:t>
      </w:r>
      <w:r>
        <w:rPr>
          <w:spacing w:val="-4"/>
        </w:rPr>
        <w:t xml:space="preserve"> </w:t>
      </w:r>
      <w:r>
        <w:t>The</w:t>
      </w:r>
      <w:r>
        <w:rPr>
          <w:spacing w:val="-4"/>
        </w:rPr>
        <w:t xml:space="preserve"> </w:t>
      </w:r>
      <w:r>
        <w:t>DRA</w:t>
      </w:r>
      <w:r>
        <w:rPr>
          <w:spacing w:val="-7"/>
        </w:rPr>
        <w:t xml:space="preserve"> </w:t>
      </w:r>
      <w:r>
        <w:t>processes</w:t>
      </w:r>
      <w:r>
        <w:rPr>
          <w:spacing w:val="-2"/>
        </w:rPr>
        <w:t xml:space="preserve"> </w:t>
      </w:r>
      <w:r>
        <w:t>expenditures</w:t>
      </w:r>
      <w:r>
        <w:rPr>
          <w:spacing w:val="-4"/>
        </w:rPr>
        <w:t xml:space="preserve"> </w:t>
      </w:r>
      <w:r>
        <w:t>and</w:t>
      </w:r>
      <w:r>
        <w:rPr>
          <w:spacing w:val="-3"/>
        </w:rPr>
        <w:t xml:space="preserve"> </w:t>
      </w:r>
      <w:r>
        <w:t>transactions,</w:t>
      </w:r>
      <w:r>
        <w:rPr>
          <w:spacing w:val="-6"/>
        </w:rPr>
        <w:t xml:space="preserve"> </w:t>
      </w:r>
      <w:r>
        <w:t>provides monthly budget variance reports for the PI to review, prepares cost transfers timely, and maintains documentation for all corrections.</w:t>
      </w:r>
    </w:p>
    <w:p w14:paraId="59BF12D6" w14:textId="77777777" w:rsidR="007A584F" w:rsidRDefault="007A584F">
      <w:pPr>
        <w:pStyle w:val="BodyText"/>
        <w:spacing w:before="36"/>
      </w:pPr>
    </w:p>
    <w:p w14:paraId="124283D2" w14:textId="6CD6898A" w:rsidR="007A584F" w:rsidRDefault="00CE07B1">
      <w:pPr>
        <w:pStyle w:val="BodyText"/>
        <w:spacing w:line="276" w:lineRule="auto"/>
        <w:ind w:left="359" w:right="337"/>
      </w:pPr>
      <w:r>
        <w:rPr>
          <w:i/>
        </w:rPr>
        <w:t>SPA</w:t>
      </w:r>
      <w:r>
        <w:rPr>
          <w:i/>
          <w:spacing w:val="-5"/>
        </w:rPr>
        <w:t xml:space="preserve"> </w:t>
      </w:r>
      <w:proofErr w:type="spellStart"/>
      <w:r>
        <w:rPr>
          <w:i/>
        </w:rPr>
        <w:t>Post-award</w:t>
      </w:r>
      <w:proofErr w:type="spellEnd"/>
      <w:r>
        <w:rPr>
          <w:i/>
          <w:spacing w:val="-1"/>
        </w:rPr>
        <w:t xml:space="preserve"> </w:t>
      </w:r>
      <w:r>
        <w:rPr>
          <w:i/>
        </w:rPr>
        <w:t>Team</w:t>
      </w:r>
      <w:r>
        <w:rPr>
          <w:i/>
          <w:spacing w:val="-1"/>
        </w:rPr>
        <w:t xml:space="preserve"> </w:t>
      </w:r>
      <w:r>
        <w:t>–</w:t>
      </w:r>
      <w:r>
        <w:rPr>
          <w:spacing w:val="-3"/>
        </w:rPr>
        <w:t xml:space="preserve"> </w:t>
      </w:r>
      <w:r>
        <w:t>The</w:t>
      </w:r>
      <w:r>
        <w:rPr>
          <w:spacing w:val="-4"/>
        </w:rPr>
        <w:t xml:space="preserve"> </w:t>
      </w:r>
      <w:proofErr w:type="spellStart"/>
      <w:r>
        <w:t>Post-award</w:t>
      </w:r>
      <w:proofErr w:type="spellEnd"/>
      <w:r>
        <w:rPr>
          <w:spacing w:val="-3"/>
        </w:rPr>
        <w:t xml:space="preserve"> </w:t>
      </w:r>
      <w:r>
        <w:t>Team</w:t>
      </w:r>
      <w:r>
        <w:rPr>
          <w:spacing w:val="-3"/>
        </w:rPr>
        <w:t xml:space="preserve"> </w:t>
      </w:r>
      <w:r>
        <w:t>monitors</w:t>
      </w:r>
      <w:r>
        <w:rPr>
          <w:spacing w:val="-4"/>
        </w:rPr>
        <w:t xml:space="preserve"> </w:t>
      </w:r>
      <w:r>
        <w:t>award</w:t>
      </w:r>
      <w:r>
        <w:rPr>
          <w:spacing w:val="-3"/>
        </w:rPr>
        <w:t xml:space="preserve"> </w:t>
      </w:r>
      <w:r>
        <w:t>activity</w:t>
      </w:r>
      <w:r>
        <w:rPr>
          <w:spacing w:val="-5"/>
        </w:rPr>
        <w:t xml:space="preserve"> </w:t>
      </w:r>
      <w:r>
        <w:t>and</w:t>
      </w:r>
      <w:r>
        <w:rPr>
          <w:spacing w:val="-3"/>
        </w:rPr>
        <w:t xml:space="preserve"> </w:t>
      </w:r>
      <w:r>
        <w:t>determines</w:t>
      </w:r>
      <w:r>
        <w:rPr>
          <w:spacing w:val="-4"/>
        </w:rPr>
        <w:t xml:space="preserve"> </w:t>
      </w:r>
      <w:r>
        <w:t>with</w:t>
      </w:r>
      <w:r>
        <w:rPr>
          <w:spacing w:val="-5"/>
        </w:rPr>
        <w:t xml:space="preserve"> </w:t>
      </w:r>
      <w:r>
        <w:t xml:space="preserve">the Department when CEs are needed. Quarterly, the </w:t>
      </w:r>
      <w:proofErr w:type="spellStart"/>
      <w:r>
        <w:t>Post-award</w:t>
      </w:r>
      <w:proofErr w:type="spellEnd"/>
      <w:r>
        <w:t xml:space="preserve"> Team reviews the CE report (prepared by the SPA Compliance Team) for the following: (1) CEs that represent 10% of the</w:t>
      </w:r>
    </w:p>
    <w:p w14:paraId="1CC7CE3B" w14:textId="77777777" w:rsidR="007A584F" w:rsidRDefault="007A584F">
      <w:pPr>
        <w:pStyle w:val="BodyText"/>
        <w:spacing w:line="276" w:lineRule="auto"/>
        <w:sectPr w:rsidR="007A584F">
          <w:type w:val="continuous"/>
          <w:pgSz w:w="12240" w:h="15840"/>
          <w:pgMar w:top="1100" w:right="1080" w:bottom="280" w:left="1080" w:header="720" w:footer="720" w:gutter="0"/>
          <w:cols w:space="720"/>
        </w:sectPr>
      </w:pPr>
    </w:p>
    <w:p w14:paraId="383F7717" w14:textId="77777777" w:rsidR="007A584F" w:rsidRDefault="00CE07B1">
      <w:pPr>
        <w:spacing w:before="80"/>
        <w:ind w:right="357"/>
        <w:jc w:val="right"/>
        <w:rPr>
          <w:sz w:val="16"/>
        </w:rPr>
      </w:pPr>
      <w:r>
        <w:rPr>
          <w:spacing w:val="-10"/>
          <w:sz w:val="16"/>
        </w:rPr>
        <w:lastRenderedPageBreak/>
        <w:t>2</w:t>
      </w:r>
    </w:p>
    <w:p w14:paraId="75C87608" w14:textId="77777777" w:rsidR="007A584F" w:rsidRDefault="007A584F">
      <w:pPr>
        <w:pStyle w:val="BodyText"/>
        <w:spacing w:before="27"/>
      </w:pPr>
    </w:p>
    <w:p w14:paraId="26651874" w14:textId="77777777" w:rsidR="007A584F" w:rsidRDefault="00CE07B1">
      <w:pPr>
        <w:pStyle w:val="BodyText"/>
        <w:spacing w:line="276" w:lineRule="auto"/>
        <w:ind w:left="359" w:right="337"/>
      </w:pPr>
      <w:r>
        <w:t>total</w:t>
      </w:r>
      <w:r>
        <w:rPr>
          <w:spacing w:val="-2"/>
        </w:rPr>
        <w:t xml:space="preserve"> </w:t>
      </w:r>
      <w:r>
        <w:t>award</w:t>
      </w:r>
      <w:r>
        <w:rPr>
          <w:spacing w:val="-2"/>
        </w:rPr>
        <w:t xml:space="preserve"> </w:t>
      </w:r>
      <w:r>
        <w:t>amount,</w:t>
      </w:r>
      <w:r>
        <w:rPr>
          <w:spacing w:val="-3"/>
        </w:rPr>
        <w:t xml:space="preserve"> </w:t>
      </w:r>
      <w:r>
        <w:t>(2)</w:t>
      </w:r>
      <w:r>
        <w:rPr>
          <w:spacing w:val="-2"/>
        </w:rPr>
        <w:t xml:space="preserve"> </w:t>
      </w:r>
      <w:r>
        <w:t>entries</w:t>
      </w:r>
      <w:r>
        <w:rPr>
          <w:spacing w:val="-3"/>
        </w:rPr>
        <w:t xml:space="preserve"> </w:t>
      </w:r>
      <w:r>
        <w:t>30</w:t>
      </w:r>
      <w:r>
        <w:rPr>
          <w:spacing w:val="-3"/>
        </w:rPr>
        <w:t xml:space="preserve"> </w:t>
      </w:r>
      <w:r>
        <w:t>days</w:t>
      </w:r>
      <w:r>
        <w:rPr>
          <w:spacing w:val="-3"/>
        </w:rPr>
        <w:t xml:space="preserve"> </w:t>
      </w:r>
      <w:r>
        <w:t>prior</w:t>
      </w:r>
      <w:r>
        <w:rPr>
          <w:spacing w:val="-3"/>
        </w:rPr>
        <w:t xml:space="preserve"> </w:t>
      </w:r>
      <w:r>
        <w:t>to</w:t>
      </w:r>
      <w:r>
        <w:rPr>
          <w:spacing w:val="-3"/>
        </w:rPr>
        <w:t xml:space="preserve"> </w:t>
      </w:r>
      <w:r>
        <w:t>the</w:t>
      </w:r>
      <w:r>
        <w:rPr>
          <w:spacing w:val="-2"/>
        </w:rPr>
        <w:t xml:space="preserve"> </w:t>
      </w:r>
      <w:r>
        <w:t>award</w:t>
      </w:r>
      <w:r>
        <w:rPr>
          <w:spacing w:val="-2"/>
        </w:rPr>
        <w:t xml:space="preserve"> </w:t>
      </w:r>
      <w:r>
        <w:t>end</w:t>
      </w:r>
      <w:r>
        <w:rPr>
          <w:spacing w:val="-2"/>
        </w:rPr>
        <w:t xml:space="preserve"> </w:t>
      </w:r>
      <w:r>
        <w:t>date,</w:t>
      </w:r>
      <w:r>
        <w:rPr>
          <w:spacing w:val="-5"/>
        </w:rPr>
        <w:t xml:space="preserve"> </w:t>
      </w:r>
      <w:r>
        <w:t>and (3)</w:t>
      </w:r>
      <w:r>
        <w:rPr>
          <w:spacing w:val="-4"/>
        </w:rPr>
        <w:t xml:space="preserve"> </w:t>
      </w:r>
      <w:r>
        <w:t>entries</w:t>
      </w:r>
      <w:r>
        <w:rPr>
          <w:spacing w:val="-3"/>
        </w:rPr>
        <w:t xml:space="preserve"> </w:t>
      </w:r>
      <w:r>
        <w:t>made</w:t>
      </w:r>
      <w:r>
        <w:rPr>
          <w:spacing w:val="-2"/>
        </w:rPr>
        <w:t xml:space="preserve"> </w:t>
      </w:r>
      <w:r>
        <w:t>after the award period.</w:t>
      </w:r>
      <w:r>
        <w:rPr>
          <w:spacing w:val="40"/>
        </w:rPr>
        <w:t xml:space="preserve"> </w:t>
      </w:r>
      <w:r>
        <w:t xml:space="preserve">The </w:t>
      </w:r>
      <w:proofErr w:type="spellStart"/>
      <w:r>
        <w:t>Post-award</w:t>
      </w:r>
      <w:proofErr w:type="spellEnd"/>
      <w:r>
        <w:t xml:space="preserve"> Team works with the Department and adds approver comments as needed.</w:t>
      </w:r>
    </w:p>
    <w:p w14:paraId="0F67E43F" w14:textId="77777777" w:rsidR="007A584F" w:rsidRDefault="007A584F">
      <w:pPr>
        <w:pStyle w:val="BodyText"/>
        <w:spacing w:before="37"/>
      </w:pPr>
    </w:p>
    <w:p w14:paraId="1FAC1104" w14:textId="7D6775E1" w:rsidR="007A584F" w:rsidRDefault="00CE07B1">
      <w:pPr>
        <w:pStyle w:val="BodyText"/>
        <w:spacing w:line="276" w:lineRule="auto"/>
        <w:ind w:left="359" w:right="337"/>
      </w:pPr>
      <w:r>
        <w:rPr>
          <w:i/>
        </w:rPr>
        <w:t xml:space="preserve">SPA Compliance Team </w:t>
      </w:r>
      <w:r>
        <w:t>–</w:t>
      </w:r>
      <w:r>
        <w:rPr>
          <w:spacing w:val="80"/>
        </w:rPr>
        <w:t xml:space="preserve"> </w:t>
      </w:r>
      <w:r>
        <w:t>The Compliance Team generates a CE report quarterly and distributes</w:t>
      </w:r>
      <w:r>
        <w:rPr>
          <w:spacing w:val="-4"/>
        </w:rPr>
        <w:t xml:space="preserve"> </w:t>
      </w:r>
      <w:r>
        <w:t>to</w:t>
      </w:r>
      <w:r>
        <w:rPr>
          <w:spacing w:val="-4"/>
        </w:rPr>
        <w:t xml:space="preserve"> </w:t>
      </w:r>
      <w:r>
        <w:t>the</w:t>
      </w:r>
      <w:r>
        <w:rPr>
          <w:spacing w:val="-3"/>
        </w:rPr>
        <w:t xml:space="preserve"> </w:t>
      </w:r>
      <w:proofErr w:type="spellStart"/>
      <w:r>
        <w:t>Post-award</w:t>
      </w:r>
      <w:proofErr w:type="spellEnd"/>
      <w:r>
        <w:rPr>
          <w:spacing w:val="-3"/>
        </w:rPr>
        <w:t xml:space="preserve"> </w:t>
      </w:r>
      <w:r>
        <w:t>Pods.</w:t>
      </w:r>
      <w:r>
        <w:rPr>
          <w:spacing w:val="-4"/>
        </w:rPr>
        <w:t xml:space="preserve"> </w:t>
      </w:r>
      <w:r>
        <w:t>The</w:t>
      </w:r>
      <w:r>
        <w:rPr>
          <w:spacing w:val="-1"/>
        </w:rPr>
        <w:t xml:space="preserve"> </w:t>
      </w:r>
      <w:r>
        <w:t>Compliance</w:t>
      </w:r>
      <w:r>
        <w:rPr>
          <w:spacing w:val="-4"/>
        </w:rPr>
        <w:t xml:space="preserve"> </w:t>
      </w:r>
      <w:r>
        <w:t>Team</w:t>
      </w:r>
      <w:r>
        <w:rPr>
          <w:spacing w:val="-3"/>
        </w:rPr>
        <w:t xml:space="preserve"> </w:t>
      </w:r>
      <w:r>
        <w:t>reviews</w:t>
      </w:r>
      <w:r>
        <w:rPr>
          <w:spacing w:val="-4"/>
        </w:rPr>
        <w:t xml:space="preserve"> </w:t>
      </w:r>
      <w:r>
        <w:t>all</w:t>
      </w:r>
      <w:r>
        <w:rPr>
          <w:spacing w:val="-3"/>
        </w:rPr>
        <w:t xml:space="preserve"> </w:t>
      </w:r>
      <w:r>
        <w:t>CEs</w:t>
      </w:r>
      <w:r>
        <w:rPr>
          <w:spacing w:val="-4"/>
        </w:rPr>
        <w:t xml:space="preserve"> </w:t>
      </w:r>
      <w:r>
        <w:t>prepared</w:t>
      </w:r>
      <w:r>
        <w:rPr>
          <w:spacing w:val="-3"/>
        </w:rPr>
        <w:t xml:space="preserve"> </w:t>
      </w:r>
      <w:r>
        <w:t>internally ensuring proper segregation of duties.</w:t>
      </w:r>
    </w:p>
    <w:p w14:paraId="27158EE9" w14:textId="77777777" w:rsidR="007A584F" w:rsidRDefault="007A584F">
      <w:pPr>
        <w:pStyle w:val="BodyText"/>
        <w:spacing w:before="37"/>
      </w:pPr>
    </w:p>
    <w:p w14:paraId="01184CED" w14:textId="77777777" w:rsidR="007A584F" w:rsidRPr="00CE07B1" w:rsidRDefault="00CE07B1">
      <w:pPr>
        <w:pStyle w:val="Heading2"/>
      </w:pPr>
      <w:bookmarkStart w:id="7" w:name="Responsibilities"/>
      <w:bookmarkEnd w:id="7"/>
      <w:r w:rsidRPr="00CE07B1">
        <w:rPr>
          <w:spacing w:val="-2"/>
        </w:rPr>
        <w:t>Responsibilities</w:t>
      </w:r>
    </w:p>
    <w:p w14:paraId="1C4BD021" w14:textId="77777777" w:rsidR="007A584F" w:rsidRDefault="00CE07B1">
      <w:pPr>
        <w:pStyle w:val="BodyText"/>
        <w:spacing w:before="43"/>
        <w:ind w:left="360"/>
      </w:pPr>
      <w:r>
        <w:t>Below</w:t>
      </w:r>
      <w:r>
        <w:rPr>
          <w:spacing w:val="-2"/>
        </w:rPr>
        <w:t xml:space="preserve"> </w:t>
      </w:r>
      <w:r>
        <w:t>is</w:t>
      </w:r>
      <w:r>
        <w:rPr>
          <w:spacing w:val="-5"/>
        </w:rPr>
        <w:t xml:space="preserve"> </w:t>
      </w:r>
      <w:r>
        <w:t>an</w:t>
      </w:r>
      <w:r>
        <w:rPr>
          <w:spacing w:val="-4"/>
        </w:rPr>
        <w:t xml:space="preserve"> </w:t>
      </w:r>
      <w:r>
        <w:t>outline</w:t>
      </w:r>
      <w:r>
        <w:rPr>
          <w:spacing w:val="-3"/>
        </w:rPr>
        <w:t xml:space="preserve"> </w:t>
      </w:r>
      <w:r>
        <w:t>of</w:t>
      </w:r>
      <w:r>
        <w:rPr>
          <w:spacing w:val="-5"/>
        </w:rPr>
        <w:t xml:space="preserve"> </w:t>
      </w:r>
      <w:r>
        <w:t>responsibilities</w:t>
      </w:r>
      <w:r>
        <w:rPr>
          <w:spacing w:val="-4"/>
        </w:rPr>
        <w:t xml:space="preserve"> </w:t>
      </w:r>
      <w:r>
        <w:t>as</w:t>
      </w:r>
      <w:r>
        <w:rPr>
          <w:spacing w:val="-5"/>
        </w:rPr>
        <w:t xml:space="preserve"> </w:t>
      </w:r>
      <w:r>
        <w:t>they</w:t>
      </w:r>
      <w:r>
        <w:rPr>
          <w:spacing w:val="-5"/>
        </w:rPr>
        <w:t xml:space="preserve"> </w:t>
      </w:r>
      <w:r>
        <w:t>relate</w:t>
      </w:r>
      <w:r>
        <w:rPr>
          <w:spacing w:val="-7"/>
        </w:rPr>
        <w:t xml:space="preserve"> </w:t>
      </w:r>
      <w:r>
        <w:t>to</w:t>
      </w:r>
      <w:r>
        <w:rPr>
          <w:spacing w:val="-5"/>
        </w:rPr>
        <w:t xml:space="preserve"> </w:t>
      </w:r>
      <w:r>
        <w:t>this</w:t>
      </w:r>
      <w:r>
        <w:rPr>
          <w:spacing w:val="-4"/>
        </w:rPr>
        <w:t xml:space="preserve"> </w:t>
      </w:r>
      <w:r>
        <w:rPr>
          <w:spacing w:val="-2"/>
        </w:rPr>
        <w:t>process.</w:t>
      </w:r>
    </w:p>
    <w:p w14:paraId="237C4607" w14:textId="77777777" w:rsidR="007A584F" w:rsidRDefault="00CE07B1">
      <w:pPr>
        <w:spacing w:before="238"/>
        <w:ind w:left="360"/>
        <w:rPr>
          <w:i/>
          <w:sz w:val="20"/>
        </w:rPr>
      </w:pPr>
      <w:r>
        <w:rPr>
          <w:i/>
          <w:sz w:val="20"/>
        </w:rPr>
        <w:t>Principal</w:t>
      </w:r>
      <w:r>
        <w:rPr>
          <w:i/>
          <w:spacing w:val="-7"/>
          <w:sz w:val="20"/>
        </w:rPr>
        <w:t xml:space="preserve"> </w:t>
      </w:r>
      <w:r>
        <w:rPr>
          <w:i/>
          <w:spacing w:val="-2"/>
          <w:sz w:val="20"/>
        </w:rPr>
        <w:t>Investigator:</w:t>
      </w:r>
    </w:p>
    <w:p w14:paraId="719736D2" w14:textId="77777777" w:rsidR="007A584F" w:rsidRDefault="00CE07B1">
      <w:pPr>
        <w:pStyle w:val="ListParagraph"/>
        <w:numPr>
          <w:ilvl w:val="0"/>
          <w:numId w:val="1"/>
        </w:numPr>
        <w:tabs>
          <w:tab w:val="left" w:pos="1079"/>
        </w:tabs>
        <w:spacing w:before="35"/>
        <w:rPr>
          <w:sz w:val="20"/>
        </w:rPr>
      </w:pPr>
      <w:r>
        <w:rPr>
          <w:sz w:val="20"/>
        </w:rPr>
        <w:t>Maintains</w:t>
      </w:r>
      <w:r>
        <w:rPr>
          <w:spacing w:val="-10"/>
          <w:sz w:val="20"/>
        </w:rPr>
        <w:t xml:space="preserve"> </w:t>
      </w:r>
      <w:r>
        <w:rPr>
          <w:sz w:val="20"/>
        </w:rPr>
        <w:t>knowledge</w:t>
      </w:r>
      <w:r>
        <w:rPr>
          <w:spacing w:val="-8"/>
          <w:sz w:val="20"/>
        </w:rPr>
        <w:t xml:space="preserve"> </w:t>
      </w:r>
      <w:r>
        <w:rPr>
          <w:sz w:val="20"/>
        </w:rPr>
        <w:t>of</w:t>
      </w:r>
      <w:r>
        <w:rPr>
          <w:spacing w:val="-7"/>
          <w:sz w:val="20"/>
        </w:rPr>
        <w:t xml:space="preserve"> </w:t>
      </w:r>
      <w:r>
        <w:rPr>
          <w:sz w:val="20"/>
        </w:rPr>
        <w:t>compliance</w:t>
      </w:r>
      <w:r>
        <w:rPr>
          <w:spacing w:val="-8"/>
          <w:sz w:val="20"/>
        </w:rPr>
        <w:t xml:space="preserve"> </w:t>
      </w:r>
      <w:r>
        <w:rPr>
          <w:spacing w:val="-2"/>
          <w:sz w:val="20"/>
        </w:rPr>
        <w:t>requirements.</w:t>
      </w:r>
    </w:p>
    <w:p w14:paraId="511F084B" w14:textId="77777777" w:rsidR="007A584F" w:rsidRDefault="00CE07B1">
      <w:pPr>
        <w:pStyle w:val="ListParagraph"/>
        <w:numPr>
          <w:ilvl w:val="0"/>
          <w:numId w:val="1"/>
        </w:numPr>
        <w:tabs>
          <w:tab w:val="left" w:pos="1079"/>
        </w:tabs>
        <w:spacing w:line="276" w:lineRule="auto"/>
        <w:ind w:right="868"/>
        <w:rPr>
          <w:sz w:val="20"/>
        </w:rPr>
      </w:pPr>
      <w:r>
        <w:rPr>
          <w:sz w:val="20"/>
        </w:rPr>
        <w:t>Ensures</w:t>
      </w:r>
      <w:r>
        <w:rPr>
          <w:spacing w:val="-4"/>
          <w:sz w:val="20"/>
        </w:rPr>
        <w:t xml:space="preserve"> </w:t>
      </w:r>
      <w:r>
        <w:rPr>
          <w:sz w:val="20"/>
        </w:rPr>
        <w:t>all</w:t>
      </w:r>
      <w:r>
        <w:rPr>
          <w:spacing w:val="-3"/>
          <w:sz w:val="20"/>
        </w:rPr>
        <w:t xml:space="preserve"> </w:t>
      </w:r>
      <w:r>
        <w:rPr>
          <w:sz w:val="20"/>
        </w:rPr>
        <w:t>cost</w:t>
      </w:r>
      <w:r>
        <w:rPr>
          <w:spacing w:val="-2"/>
          <w:sz w:val="20"/>
        </w:rPr>
        <w:t xml:space="preserve"> </w:t>
      </w:r>
      <w:r>
        <w:rPr>
          <w:sz w:val="20"/>
        </w:rPr>
        <w:t>transfers</w:t>
      </w:r>
      <w:r>
        <w:rPr>
          <w:spacing w:val="-2"/>
          <w:sz w:val="20"/>
        </w:rPr>
        <w:t xml:space="preserve"> </w:t>
      </w:r>
      <w:r>
        <w:rPr>
          <w:sz w:val="20"/>
        </w:rPr>
        <w:t>are</w:t>
      </w:r>
      <w:r>
        <w:rPr>
          <w:spacing w:val="-3"/>
          <w:sz w:val="20"/>
        </w:rPr>
        <w:t xml:space="preserve"> </w:t>
      </w:r>
      <w:r>
        <w:rPr>
          <w:sz w:val="20"/>
        </w:rPr>
        <w:t>allowable,</w:t>
      </w:r>
      <w:r>
        <w:rPr>
          <w:spacing w:val="-5"/>
          <w:sz w:val="20"/>
        </w:rPr>
        <w:t xml:space="preserve"> </w:t>
      </w:r>
      <w:r>
        <w:rPr>
          <w:sz w:val="20"/>
        </w:rPr>
        <w:t>properly</w:t>
      </w:r>
      <w:r>
        <w:rPr>
          <w:spacing w:val="-5"/>
          <w:sz w:val="20"/>
        </w:rPr>
        <w:t xml:space="preserve"> </w:t>
      </w:r>
      <w:r>
        <w:rPr>
          <w:sz w:val="20"/>
        </w:rPr>
        <w:t>documented,</w:t>
      </w:r>
      <w:r>
        <w:rPr>
          <w:spacing w:val="-5"/>
          <w:sz w:val="20"/>
        </w:rPr>
        <w:t xml:space="preserve"> </w:t>
      </w:r>
      <w:r>
        <w:rPr>
          <w:sz w:val="20"/>
        </w:rPr>
        <w:t>and</w:t>
      </w:r>
      <w:r>
        <w:rPr>
          <w:spacing w:val="-3"/>
          <w:sz w:val="20"/>
        </w:rPr>
        <w:t xml:space="preserve"> </w:t>
      </w:r>
      <w:r>
        <w:rPr>
          <w:sz w:val="20"/>
        </w:rPr>
        <w:t>made</w:t>
      </w:r>
      <w:r>
        <w:rPr>
          <w:spacing w:val="-3"/>
          <w:sz w:val="20"/>
        </w:rPr>
        <w:t xml:space="preserve"> </w:t>
      </w:r>
      <w:r>
        <w:rPr>
          <w:sz w:val="20"/>
        </w:rPr>
        <w:t>in</w:t>
      </w:r>
      <w:r>
        <w:rPr>
          <w:spacing w:val="-3"/>
          <w:sz w:val="20"/>
        </w:rPr>
        <w:t xml:space="preserve"> </w:t>
      </w:r>
      <w:r>
        <w:rPr>
          <w:sz w:val="20"/>
        </w:rPr>
        <w:t>a</w:t>
      </w:r>
      <w:r>
        <w:rPr>
          <w:spacing w:val="-3"/>
          <w:sz w:val="20"/>
        </w:rPr>
        <w:t xml:space="preserve"> </w:t>
      </w:r>
      <w:r>
        <w:rPr>
          <w:sz w:val="20"/>
        </w:rPr>
        <w:t xml:space="preserve">timely </w:t>
      </w:r>
      <w:r>
        <w:rPr>
          <w:spacing w:val="-2"/>
          <w:sz w:val="20"/>
        </w:rPr>
        <w:t>manner.</w:t>
      </w:r>
    </w:p>
    <w:p w14:paraId="2E8DF9FE" w14:textId="77777777" w:rsidR="007A584F" w:rsidRDefault="007A584F">
      <w:pPr>
        <w:pStyle w:val="BodyText"/>
        <w:spacing w:before="36"/>
      </w:pPr>
    </w:p>
    <w:p w14:paraId="17BC4976" w14:textId="77777777" w:rsidR="007A584F" w:rsidRDefault="00CE07B1">
      <w:pPr>
        <w:ind w:left="359"/>
        <w:rPr>
          <w:i/>
          <w:sz w:val="20"/>
        </w:rPr>
      </w:pPr>
      <w:r>
        <w:rPr>
          <w:i/>
          <w:sz w:val="20"/>
        </w:rPr>
        <w:t>Departmental</w:t>
      </w:r>
      <w:r>
        <w:rPr>
          <w:i/>
          <w:spacing w:val="-12"/>
          <w:sz w:val="20"/>
        </w:rPr>
        <w:t xml:space="preserve"> </w:t>
      </w:r>
      <w:r>
        <w:rPr>
          <w:i/>
          <w:sz w:val="20"/>
        </w:rPr>
        <w:t>Research</w:t>
      </w:r>
      <w:r>
        <w:rPr>
          <w:i/>
          <w:spacing w:val="-11"/>
          <w:sz w:val="20"/>
        </w:rPr>
        <w:t xml:space="preserve"> </w:t>
      </w:r>
      <w:r>
        <w:rPr>
          <w:i/>
          <w:spacing w:val="-2"/>
          <w:sz w:val="20"/>
        </w:rPr>
        <w:t>Administrator:</w:t>
      </w:r>
    </w:p>
    <w:p w14:paraId="2D5AF295" w14:textId="77777777" w:rsidR="007A584F" w:rsidRDefault="00CE07B1">
      <w:pPr>
        <w:pStyle w:val="ListParagraph"/>
        <w:numPr>
          <w:ilvl w:val="0"/>
          <w:numId w:val="1"/>
        </w:numPr>
        <w:tabs>
          <w:tab w:val="left" w:pos="1079"/>
        </w:tabs>
        <w:rPr>
          <w:sz w:val="20"/>
        </w:rPr>
      </w:pPr>
      <w:r>
        <w:rPr>
          <w:sz w:val="20"/>
        </w:rPr>
        <w:t>Maintains</w:t>
      </w:r>
      <w:r>
        <w:rPr>
          <w:spacing w:val="-10"/>
          <w:sz w:val="20"/>
        </w:rPr>
        <w:t xml:space="preserve"> </w:t>
      </w:r>
      <w:r>
        <w:rPr>
          <w:sz w:val="20"/>
        </w:rPr>
        <w:t>knowledge</w:t>
      </w:r>
      <w:r>
        <w:rPr>
          <w:spacing w:val="-9"/>
          <w:sz w:val="20"/>
        </w:rPr>
        <w:t xml:space="preserve"> </w:t>
      </w:r>
      <w:r>
        <w:rPr>
          <w:sz w:val="20"/>
        </w:rPr>
        <w:t>of</w:t>
      </w:r>
      <w:r>
        <w:rPr>
          <w:spacing w:val="-7"/>
          <w:sz w:val="20"/>
        </w:rPr>
        <w:t xml:space="preserve"> </w:t>
      </w:r>
      <w:r>
        <w:rPr>
          <w:sz w:val="20"/>
        </w:rPr>
        <w:t>compliance</w:t>
      </w:r>
      <w:r>
        <w:rPr>
          <w:spacing w:val="-8"/>
          <w:sz w:val="20"/>
        </w:rPr>
        <w:t xml:space="preserve"> </w:t>
      </w:r>
      <w:r>
        <w:rPr>
          <w:spacing w:val="-2"/>
          <w:sz w:val="20"/>
        </w:rPr>
        <w:t>requirements.</w:t>
      </w:r>
    </w:p>
    <w:p w14:paraId="1519193F" w14:textId="77777777" w:rsidR="007A584F" w:rsidRDefault="00CE07B1">
      <w:pPr>
        <w:pStyle w:val="ListParagraph"/>
        <w:numPr>
          <w:ilvl w:val="0"/>
          <w:numId w:val="1"/>
        </w:numPr>
        <w:tabs>
          <w:tab w:val="left" w:pos="1079"/>
        </w:tabs>
        <w:spacing w:before="36"/>
        <w:rPr>
          <w:sz w:val="20"/>
        </w:rPr>
      </w:pPr>
      <w:r>
        <w:rPr>
          <w:sz w:val="20"/>
        </w:rPr>
        <w:t>Ensures</w:t>
      </w:r>
      <w:r>
        <w:rPr>
          <w:spacing w:val="-8"/>
          <w:sz w:val="20"/>
        </w:rPr>
        <w:t xml:space="preserve"> </w:t>
      </w:r>
      <w:r>
        <w:rPr>
          <w:sz w:val="20"/>
        </w:rPr>
        <w:t>transactions</w:t>
      </w:r>
      <w:r>
        <w:rPr>
          <w:spacing w:val="-7"/>
          <w:sz w:val="20"/>
        </w:rPr>
        <w:t xml:space="preserve"> </w:t>
      </w:r>
      <w:r>
        <w:rPr>
          <w:sz w:val="20"/>
        </w:rPr>
        <w:t>are</w:t>
      </w:r>
      <w:r>
        <w:rPr>
          <w:spacing w:val="-7"/>
          <w:sz w:val="20"/>
        </w:rPr>
        <w:t xml:space="preserve"> </w:t>
      </w:r>
      <w:r>
        <w:rPr>
          <w:sz w:val="20"/>
        </w:rPr>
        <w:t>properly</w:t>
      </w:r>
      <w:r>
        <w:rPr>
          <w:spacing w:val="-8"/>
          <w:sz w:val="20"/>
        </w:rPr>
        <w:t xml:space="preserve"> </w:t>
      </w:r>
      <w:r>
        <w:rPr>
          <w:sz w:val="20"/>
        </w:rPr>
        <w:t>recorded</w:t>
      </w:r>
      <w:r>
        <w:rPr>
          <w:spacing w:val="-7"/>
          <w:sz w:val="20"/>
        </w:rPr>
        <w:t xml:space="preserve"> </w:t>
      </w:r>
      <w:r>
        <w:rPr>
          <w:sz w:val="20"/>
        </w:rPr>
        <w:t>and</w:t>
      </w:r>
      <w:r>
        <w:rPr>
          <w:spacing w:val="-7"/>
          <w:sz w:val="20"/>
        </w:rPr>
        <w:t xml:space="preserve"> </w:t>
      </w:r>
      <w:r>
        <w:rPr>
          <w:spacing w:val="-2"/>
          <w:sz w:val="20"/>
        </w:rPr>
        <w:t>supported.</w:t>
      </w:r>
    </w:p>
    <w:p w14:paraId="7EEA3490" w14:textId="77777777" w:rsidR="007A584F" w:rsidRDefault="00CE07B1">
      <w:pPr>
        <w:pStyle w:val="ListParagraph"/>
        <w:numPr>
          <w:ilvl w:val="0"/>
          <w:numId w:val="1"/>
        </w:numPr>
        <w:tabs>
          <w:tab w:val="left" w:pos="1079"/>
        </w:tabs>
        <w:rPr>
          <w:sz w:val="20"/>
        </w:rPr>
      </w:pPr>
      <w:r>
        <w:rPr>
          <w:sz w:val="20"/>
        </w:rPr>
        <w:t>Prepares</w:t>
      </w:r>
      <w:r>
        <w:rPr>
          <w:spacing w:val="-7"/>
          <w:sz w:val="20"/>
        </w:rPr>
        <w:t xml:space="preserve"> </w:t>
      </w:r>
      <w:r>
        <w:rPr>
          <w:sz w:val="20"/>
        </w:rPr>
        <w:t>CEs</w:t>
      </w:r>
      <w:r>
        <w:rPr>
          <w:spacing w:val="-7"/>
          <w:sz w:val="20"/>
        </w:rPr>
        <w:t xml:space="preserve"> </w:t>
      </w:r>
      <w:r>
        <w:rPr>
          <w:spacing w:val="-2"/>
          <w:sz w:val="20"/>
        </w:rPr>
        <w:t>timely.</w:t>
      </w:r>
    </w:p>
    <w:p w14:paraId="79EF7EBB" w14:textId="77777777" w:rsidR="007A584F" w:rsidRDefault="00CE07B1">
      <w:pPr>
        <w:pStyle w:val="ListParagraph"/>
        <w:numPr>
          <w:ilvl w:val="0"/>
          <w:numId w:val="1"/>
        </w:numPr>
        <w:tabs>
          <w:tab w:val="left" w:pos="1079"/>
        </w:tabs>
        <w:spacing w:before="36" w:line="276" w:lineRule="auto"/>
        <w:ind w:right="579"/>
        <w:rPr>
          <w:sz w:val="20"/>
        </w:rPr>
      </w:pPr>
      <w:r>
        <w:rPr>
          <w:sz w:val="20"/>
        </w:rPr>
        <w:t>Retains supporting documentation according to the record retention requirements outlined</w:t>
      </w:r>
      <w:r>
        <w:rPr>
          <w:spacing w:val="-3"/>
          <w:sz w:val="20"/>
        </w:rPr>
        <w:t xml:space="preserve"> </w:t>
      </w:r>
      <w:r>
        <w:rPr>
          <w:sz w:val="20"/>
        </w:rPr>
        <w:t>in</w:t>
      </w:r>
      <w:r>
        <w:rPr>
          <w:spacing w:val="-3"/>
          <w:sz w:val="20"/>
        </w:rPr>
        <w:t xml:space="preserve"> </w:t>
      </w:r>
      <w:r>
        <w:rPr>
          <w:sz w:val="20"/>
        </w:rPr>
        <w:t>the</w:t>
      </w:r>
      <w:r>
        <w:rPr>
          <w:spacing w:val="-5"/>
          <w:sz w:val="20"/>
        </w:rPr>
        <w:t xml:space="preserve"> </w:t>
      </w:r>
      <w:r>
        <w:rPr>
          <w:sz w:val="20"/>
        </w:rPr>
        <w:t>terms</w:t>
      </w:r>
      <w:r>
        <w:rPr>
          <w:spacing w:val="-3"/>
          <w:sz w:val="20"/>
        </w:rPr>
        <w:t xml:space="preserve"> </w:t>
      </w:r>
      <w:r>
        <w:rPr>
          <w:sz w:val="20"/>
        </w:rPr>
        <w:t>and</w:t>
      </w:r>
      <w:r>
        <w:rPr>
          <w:spacing w:val="-3"/>
          <w:sz w:val="20"/>
        </w:rPr>
        <w:t xml:space="preserve"> </w:t>
      </w:r>
      <w:r>
        <w:rPr>
          <w:sz w:val="20"/>
        </w:rPr>
        <w:t>conditions</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applicable</w:t>
      </w:r>
      <w:r>
        <w:rPr>
          <w:spacing w:val="-3"/>
          <w:sz w:val="20"/>
        </w:rPr>
        <w:t xml:space="preserve"> </w:t>
      </w:r>
      <w:r>
        <w:rPr>
          <w:sz w:val="20"/>
        </w:rPr>
        <w:t>award</w:t>
      </w:r>
      <w:r>
        <w:rPr>
          <w:spacing w:val="-3"/>
          <w:sz w:val="20"/>
        </w:rPr>
        <w:t xml:space="preserve"> </w:t>
      </w:r>
      <w:r>
        <w:rPr>
          <w:sz w:val="20"/>
        </w:rPr>
        <w:t>or</w:t>
      </w:r>
      <w:r>
        <w:rPr>
          <w:spacing w:val="-3"/>
          <w:sz w:val="20"/>
        </w:rPr>
        <w:t xml:space="preserve"> </w:t>
      </w:r>
      <w:r>
        <w:rPr>
          <w:sz w:val="20"/>
        </w:rPr>
        <w:t>according</w:t>
      </w:r>
      <w:r>
        <w:rPr>
          <w:spacing w:val="-3"/>
          <w:sz w:val="20"/>
        </w:rPr>
        <w:t xml:space="preserve"> </w:t>
      </w:r>
      <w:r>
        <w:rPr>
          <w:sz w:val="20"/>
        </w:rPr>
        <w:t>to</w:t>
      </w:r>
      <w:r>
        <w:rPr>
          <w:spacing w:val="-3"/>
          <w:sz w:val="20"/>
        </w:rPr>
        <w:t xml:space="preserve"> </w:t>
      </w:r>
      <w:r>
        <w:rPr>
          <w:sz w:val="20"/>
        </w:rPr>
        <w:t>University record retention policies, whichever is more conservative.</w:t>
      </w:r>
    </w:p>
    <w:p w14:paraId="73DDC70A" w14:textId="05223799" w:rsidR="007A584F" w:rsidRDefault="00CE07B1">
      <w:pPr>
        <w:pStyle w:val="ListParagraph"/>
        <w:numPr>
          <w:ilvl w:val="0"/>
          <w:numId w:val="1"/>
        </w:numPr>
        <w:tabs>
          <w:tab w:val="left" w:pos="1079"/>
        </w:tabs>
        <w:spacing w:before="1"/>
        <w:rPr>
          <w:sz w:val="20"/>
        </w:rPr>
      </w:pPr>
      <w:r>
        <w:rPr>
          <w:sz w:val="20"/>
        </w:rPr>
        <w:t>Provides</w:t>
      </w:r>
      <w:r>
        <w:rPr>
          <w:spacing w:val="-8"/>
          <w:sz w:val="20"/>
        </w:rPr>
        <w:t xml:space="preserve"> </w:t>
      </w:r>
      <w:r>
        <w:rPr>
          <w:sz w:val="20"/>
        </w:rPr>
        <w:t>supporting</w:t>
      </w:r>
      <w:r>
        <w:rPr>
          <w:spacing w:val="-8"/>
          <w:sz w:val="20"/>
        </w:rPr>
        <w:t xml:space="preserve"> </w:t>
      </w:r>
      <w:r>
        <w:rPr>
          <w:sz w:val="20"/>
        </w:rPr>
        <w:t>documentation</w:t>
      </w:r>
      <w:r>
        <w:rPr>
          <w:spacing w:val="-8"/>
          <w:sz w:val="20"/>
        </w:rPr>
        <w:t xml:space="preserve"> </w:t>
      </w:r>
      <w:r>
        <w:rPr>
          <w:sz w:val="20"/>
        </w:rPr>
        <w:t>to</w:t>
      </w:r>
      <w:r>
        <w:rPr>
          <w:spacing w:val="-9"/>
          <w:sz w:val="20"/>
        </w:rPr>
        <w:t xml:space="preserve"> </w:t>
      </w:r>
      <w:r>
        <w:rPr>
          <w:spacing w:val="-4"/>
          <w:sz w:val="20"/>
        </w:rPr>
        <w:t>SPA.</w:t>
      </w:r>
    </w:p>
    <w:p w14:paraId="1E29B542" w14:textId="77777777" w:rsidR="007A584F" w:rsidRDefault="007A584F">
      <w:pPr>
        <w:pStyle w:val="BodyText"/>
        <w:spacing w:before="74"/>
      </w:pPr>
    </w:p>
    <w:p w14:paraId="411B6ABC" w14:textId="77777777" w:rsidR="007A584F" w:rsidRDefault="00CE07B1">
      <w:pPr>
        <w:ind w:left="359"/>
        <w:rPr>
          <w:i/>
          <w:sz w:val="20"/>
        </w:rPr>
      </w:pPr>
      <w:r>
        <w:rPr>
          <w:i/>
          <w:sz w:val="20"/>
        </w:rPr>
        <w:t>Office</w:t>
      </w:r>
      <w:r>
        <w:rPr>
          <w:i/>
          <w:spacing w:val="-7"/>
          <w:sz w:val="20"/>
        </w:rPr>
        <w:t xml:space="preserve"> </w:t>
      </w:r>
      <w:r>
        <w:rPr>
          <w:i/>
          <w:sz w:val="20"/>
        </w:rPr>
        <w:t>of</w:t>
      </w:r>
      <w:r>
        <w:rPr>
          <w:i/>
          <w:spacing w:val="-5"/>
          <w:sz w:val="20"/>
        </w:rPr>
        <w:t xml:space="preserve"> </w:t>
      </w:r>
      <w:r>
        <w:rPr>
          <w:i/>
          <w:sz w:val="20"/>
        </w:rPr>
        <w:t>Sponsored</w:t>
      </w:r>
      <w:r>
        <w:rPr>
          <w:i/>
          <w:spacing w:val="-4"/>
          <w:sz w:val="20"/>
        </w:rPr>
        <w:t xml:space="preserve"> </w:t>
      </w:r>
      <w:r>
        <w:rPr>
          <w:i/>
          <w:sz w:val="20"/>
        </w:rPr>
        <w:t>Programs</w:t>
      </w:r>
      <w:r>
        <w:rPr>
          <w:i/>
          <w:spacing w:val="-8"/>
          <w:sz w:val="20"/>
        </w:rPr>
        <w:t xml:space="preserve"> </w:t>
      </w:r>
      <w:r>
        <w:rPr>
          <w:i/>
          <w:spacing w:val="-2"/>
          <w:sz w:val="20"/>
        </w:rPr>
        <w:t>Administration:</w:t>
      </w:r>
    </w:p>
    <w:p w14:paraId="53DA8C42" w14:textId="77777777" w:rsidR="007A584F" w:rsidRDefault="00CE07B1">
      <w:pPr>
        <w:pStyle w:val="ListParagraph"/>
        <w:numPr>
          <w:ilvl w:val="0"/>
          <w:numId w:val="1"/>
        </w:numPr>
        <w:tabs>
          <w:tab w:val="left" w:pos="1079"/>
        </w:tabs>
        <w:spacing w:before="35"/>
        <w:rPr>
          <w:sz w:val="20"/>
        </w:rPr>
      </w:pPr>
      <w:r>
        <w:rPr>
          <w:sz w:val="20"/>
        </w:rPr>
        <w:t>Reviews</w:t>
      </w:r>
      <w:r>
        <w:rPr>
          <w:spacing w:val="-7"/>
          <w:sz w:val="20"/>
        </w:rPr>
        <w:t xml:space="preserve"> </w:t>
      </w:r>
      <w:r>
        <w:rPr>
          <w:sz w:val="20"/>
        </w:rPr>
        <w:t>CEs</w:t>
      </w:r>
      <w:r>
        <w:rPr>
          <w:spacing w:val="-6"/>
          <w:sz w:val="20"/>
        </w:rPr>
        <w:t xml:space="preserve"> </w:t>
      </w:r>
      <w:r>
        <w:rPr>
          <w:sz w:val="20"/>
        </w:rPr>
        <w:t>and</w:t>
      </w:r>
      <w:r>
        <w:rPr>
          <w:spacing w:val="-6"/>
          <w:sz w:val="20"/>
        </w:rPr>
        <w:t xml:space="preserve"> </w:t>
      </w:r>
      <w:r>
        <w:rPr>
          <w:sz w:val="20"/>
        </w:rPr>
        <w:t>monitors</w:t>
      </w:r>
      <w:r>
        <w:rPr>
          <w:spacing w:val="-6"/>
          <w:sz w:val="20"/>
        </w:rPr>
        <w:t xml:space="preserve"> </w:t>
      </w:r>
      <w:r>
        <w:rPr>
          <w:spacing w:val="-2"/>
          <w:sz w:val="20"/>
        </w:rPr>
        <w:t>quarterly.</w:t>
      </w:r>
    </w:p>
    <w:p w14:paraId="02439147" w14:textId="77777777" w:rsidR="007A584F" w:rsidRPr="00CE07B1" w:rsidRDefault="00CE07B1">
      <w:pPr>
        <w:pStyle w:val="Heading2"/>
        <w:spacing w:before="239"/>
      </w:pPr>
      <w:bookmarkStart w:id="8" w:name="Need_Help?"/>
      <w:bookmarkEnd w:id="8"/>
      <w:r w:rsidRPr="00CE07B1">
        <w:t xml:space="preserve">Need </w:t>
      </w:r>
      <w:r w:rsidRPr="00CE07B1">
        <w:rPr>
          <w:spacing w:val="-2"/>
        </w:rPr>
        <w:t>Help?</w:t>
      </w:r>
    </w:p>
    <w:p w14:paraId="75290756" w14:textId="0CBB89A1" w:rsidR="007A584F" w:rsidRDefault="00CE07B1">
      <w:pPr>
        <w:pStyle w:val="BodyText"/>
        <w:spacing w:before="42" w:line="278" w:lineRule="auto"/>
        <w:ind w:left="360" w:hanging="1"/>
      </w:pPr>
      <w:r>
        <w:t>If</w:t>
      </w:r>
      <w:r>
        <w:rPr>
          <w:spacing w:val="-3"/>
        </w:rPr>
        <w:t xml:space="preserve"> </w:t>
      </w:r>
      <w:r>
        <w:t>you</w:t>
      </w:r>
      <w:r>
        <w:rPr>
          <w:spacing w:val="-4"/>
        </w:rPr>
        <w:t xml:space="preserve"> </w:t>
      </w:r>
      <w:r>
        <w:t>have</w:t>
      </w:r>
      <w:r>
        <w:rPr>
          <w:spacing w:val="-3"/>
        </w:rPr>
        <w:t xml:space="preserve"> </w:t>
      </w:r>
      <w:r>
        <w:t>questions</w:t>
      </w:r>
      <w:r>
        <w:rPr>
          <w:spacing w:val="-1"/>
        </w:rPr>
        <w:t xml:space="preserve"> </w:t>
      </w:r>
      <w:r>
        <w:t>or comments</w:t>
      </w:r>
      <w:r>
        <w:rPr>
          <w:spacing w:val="-3"/>
        </w:rPr>
        <w:t xml:space="preserve"> </w:t>
      </w:r>
      <w:r>
        <w:t>about</w:t>
      </w:r>
      <w:r>
        <w:rPr>
          <w:spacing w:val="-2"/>
        </w:rPr>
        <w:t xml:space="preserve"> </w:t>
      </w:r>
      <w:r>
        <w:t>this</w:t>
      </w:r>
      <w:r>
        <w:rPr>
          <w:spacing w:val="-3"/>
        </w:rPr>
        <w:t xml:space="preserve"> </w:t>
      </w:r>
      <w:r>
        <w:t>procedure or</w:t>
      </w:r>
      <w:r>
        <w:rPr>
          <w:spacing w:val="-3"/>
        </w:rPr>
        <w:t xml:space="preserve"> </w:t>
      </w:r>
      <w:r>
        <w:t>the</w:t>
      </w:r>
      <w:r>
        <w:rPr>
          <w:spacing w:val="-2"/>
        </w:rPr>
        <w:t xml:space="preserve"> </w:t>
      </w:r>
      <w:r>
        <w:t>required</w:t>
      </w:r>
      <w:r>
        <w:rPr>
          <w:spacing w:val="-2"/>
        </w:rPr>
        <w:t xml:space="preserve"> </w:t>
      </w:r>
      <w:r>
        <w:t>form,</w:t>
      </w:r>
      <w:r>
        <w:rPr>
          <w:spacing w:val="-5"/>
        </w:rPr>
        <w:t xml:space="preserve"> </w:t>
      </w:r>
      <w:r>
        <w:t>contact</w:t>
      </w:r>
      <w:r>
        <w:rPr>
          <w:spacing w:val="-1"/>
        </w:rPr>
        <w:t xml:space="preserve"> </w:t>
      </w:r>
      <w:r>
        <w:t>SPA</w:t>
      </w:r>
      <w:r>
        <w:rPr>
          <w:spacing w:val="-1"/>
        </w:rPr>
        <w:t xml:space="preserve"> </w:t>
      </w:r>
      <w:r>
        <w:t xml:space="preserve">at </w:t>
      </w:r>
      <w:hyperlink r:id="rId7">
        <w:r>
          <w:rPr>
            <w:color w:val="0000FF"/>
            <w:u w:val="single" w:color="0000FF"/>
          </w:rPr>
          <w:t>muresearchospa@missouri.edu</w:t>
        </w:r>
      </w:hyperlink>
      <w:r>
        <w:rPr>
          <w:color w:val="0000FF"/>
        </w:rPr>
        <w:t xml:space="preserve"> </w:t>
      </w:r>
      <w:r>
        <w:t>or (573)-882-7560.</w:t>
      </w:r>
    </w:p>
    <w:p w14:paraId="420B7770" w14:textId="77777777" w:rsidR="007A584F" w:rsidRDefault="007A584F">
      <w:pPr>
        <w:pStyle w:val="BodyText"/>
        <w:spacing w:before="183"/>
        <w:rPr>
          <w:sz w:val="24"/>
        </w:rPr>
      </w:pPr>
    </w:p>
    <w:p w14:paraId="4CF1E492" w14:textId="77777777" w:rsidR="007A584F" w:rsidRPr="00CE07B1" w:rsidRDefault="00CE07B1">
      <w:pPr>
        <w:pStyle w:val="Heading2"/>
      </w:pPr>
      <w:bookmarkStart w:id="9" w:name="Related_Topics"/>
      <w:bookmarkEnd w:id="9"/>
      <w:r w:rsidRPr="00CE07B1">
        <w:t xml:space="preserve">Related </w:t>
      </w:r>
      <w:r w:rsidRPr="00CE07B1">
        <w:rPr>
          <w:spacing w:val="-2"/>
        </w:rPr>
        <w:t>Topics</w:t>
      </w:r>
    </w:p>
    <w:p w14:paraId="76DA898E" w14:textId="77777777" w:rsidR="007A584F" w:rsidRDefault="00CE07B1">
      <w:pPr>
        <w:pStyle w:val="BodyText"/>
        <w:spacing w:before="44"/>
        <w:ind w:left="360"/>
      </w:pPr>
      <w:bookmarkStart w:id="10" w:name="Record_Retention_(in_development)"/>
      <w:bookmarkEnd w:id="10"/>
      <w:r>
        <w:t>Record</w:t>
      </w:r>
      <w:r>
        <w:rPr>
          <w:spacing w:val="-6"/>
        </w:rPr>
        <w:t xml:space="preserve"> </w:t>
      </w:r>
      <w:r>
        <w:t>Retention</w:t>
      </w:r>
      <w:r>
        <w:rPr>
          <w:spacing w:val="-5"/>
        </w:rPr>
        <w:t xml:space="preserve"> </w:t>
      </w:r>
      <w:r>
        <w:t>(in</w:t>
      </w:r>
      <w:r>
        <w:rPr>
          <w:spacing w:val="-7"/>
        </w:rPr>
        <w:t xml:space="preserve"> </w:t>
      </w:r>
      <w:r>
        <w:rPr>
          <w:spacing w:val="-2"/>
        </w:rPr>
        <w:t>development)</w:t>
      </w:r>
    </w:p>
    <w:p w14:paraId="38DC0898" w14:textId="77777777" w:rsidR="007A584F" w:rsidRPr="00CE07B1" w:rsidRDefault="00CE07B1">
      <w:pPr>
        <w:pStyle w:val="Heading2"/>
        <w:spacing w:before="240"/>
      </w:pPr>
      <w:bookmarkStart w:id="11" w:name="Creation_Date"/>
      <w:bookmarkEnd w:id="11"/>
      <w:r w:rsidRPr="00CE07B1">
        <w:t xml:space="preserve">Creation </w:t>
      </w:r>
      <w:r w:rsidRPr="00CE07B1">
        <w:rPr>
          <w:spacing w:val="-4"/>
        </w:rPr>
        <w:t>Date</w:t>
      </w:r>
    </w:p>
    <w:p w14:paraId="6C427A5F" w14:textId="77777777" w:rsidR="007A584F" w:rsidRDefault="00CE07B1">
      <w:pPr>
        <w:pStyle w:val="BodyText"/>
        <w:spacing w:before="41"/>
        <w:ind w:left="360"/>
      </w:pPr>
      <w:bookmarkStart w:id="12" w:name="05/29/2013"/>
      <w:bookmarkEnd w:id="12"/>
      <w:r>
        <w:rPr>
          <w:spacing w:val="-2"/>
        </w:rPr>
        <w:t>05/29/2013</w:t>
      </w:r>
    </w:p>
    <w:p w14:paraId="4D5D6F78" w14:textId="77777777" w:rsidR="007A584F" w:rsidRPr="00CE07B1" w:rsidRDefault="00CE07B1">
      <w:pPr>
        <w:pStyle w:val="Heading2"/>
        <w:spacing w:before="238"/>
      </w:pPr>
      <w:bookmarkStart w:id="13" w:name="Latest_Revision_Date"/>
      <w:bookmarkEnd w:id="13"/>
      <w:r w:rsidRPr="00CE07B1">
        <w:t xml:space="preserve">Latest Revision </w:t>
      </w:r>
      <w:r w:rsidRPr="00CE07B1">
        <w:rPr>
          <w:spacing w:val="-4"/>
        </w:rPr>
        <w:t>Date</w:t>
      </w:r>
    </w:p>
    <w:p w14:paraId="148A2A3C" w14:textId="6D5B00AA" w:rsidR="007A584F" w:rsidRDefault="00074734">
      <w:pPr>
        <w:pStyle w:val="BodyText"/>
        <w:spacing w:before="44"/>
        <w:ind w:left="360"/>
      </w:pPr>
      <w:r>
        <w:rPr>
          <w:spacing w:val="-2"/>
        </w:rPr>
        <w:t>09/09/2026</w:t>
      </w:r>
    </w:p>
    <w:p w14:paraId="1382F8E5" w14:textId="77777777" w:rsidR="007A584F" w:rsidRDefault="007A584F">
      <w:pPr>
        <w:pStyle w:val="BodyText"/>
        <w:rPr>
          <w:sz w:val="18"/>
        </w:rPr>
      </w:pPr>
    </w:p>
    <w:p w14:paraId="22932C67" w14:textId="77777777" w:rsidR="007A584F" w:rsidRDefault="007A584F">
      <w:pPr>
        <w:pStyle w:val="BodyText"/>
        <w:rPr>
          <w:sz w:val="18"/>
        </w:rPr>
      </w:pPr>
    </w:p>
    <w:p w14:paraId="031B42A3" w14:textId="77777777" w:rsidR="007A584F" w:rsidRDefault="007A584F">
      <w:pPr>
        <w:pStyle w:val="BodyText"/>
        <w:rPr>
          <w:sz w:val="18"/>
        </w:rPr>
      </w:pPr>
    </w:p>
    <w:p w14:paraId="47D82B2D" w14:textId="77777777" w:rsidR="007A584F" w:rsidRDefault="007A584F">
      <w:pPr>
        <w:pStyle w:val="BodyText"/>
        <w:rPr>
          <w:sz w:val="18"/>
        </w:rPr>
      </w:pPr>
    </w:p>
    <w:p w14:paraId="4AFD2D86" w14:textId="77777777" w:rsidR="007A584F" w:rsidRDefault="007A584F">
      <w:pPr>
        <w:pStyle w:val="BodyText"/>
        <w:rPr>
          <w:sz w:val="18"/>
        </w:rPr>
      </w:pPr>
    </w:p>
    <w:p w14:paraId="6DC845CB" w14:textId="77777777" w:rsidR="007A584F" w:rsidRDefault="007A584F">
      <w:pPr>
        <w:pStyle w:val="BodyText"/>
        <w:rPr>
          <w:sz w:val="18"/>
        </w:rPr>
      </w:pPr>
    </w:p>
    <w:p w14:paraId="372A6DF7" w14:textId="31856C2F" w:rsidR="007A584F" w:rsidRDefault="00CE07B1">
      <w:pPr>
        <w:pStyle w:val="BodyText"/>
        <w:rPr>
          <w:sz w:val="18"/>
        </w:rPr>
      </w:pPr>
      <w:r>
        <w:rPr>
          <w:noProof/>
          <w:sz w:val="18"/>
        </w:rPr>
        <w:drawing>
          <wp:anchor distT="0" distB="0" distL="0" distR="0" simplePos="0" relativeHeight="15729152" behindDoc="0" locked="0" layoutInCell="1" allowOverlap="1" wp14:anchorId="49867079" wp14:editId="50F17CB4">
            <wp:simplePos x="0" y="0"/>
            <wp:positionH relativeFrom="page">
              <wp:posOffset>4923790</wp:posOffset>
            </wp:positionH>
            <wp:positionV relativeFrom="paragraph">
              <wp:posOffset>130810</wp:posOffset>
            </wp:positionV>
            <wp:extent cx="2031365" cy="549275"/>
            <wp:effectExtent l="0" t="0" r="6985" b="3175"/>
            <wp:wrapNone/>
            <wp:docPr id="2" name="Image 2" descr="SP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PA logo"/>
                    <pic:cNvPicPr/>
                  </pic:nvPicPr>
                  <pic:blipFill>
                    <a:blip r:embed="rId8" cstate="print"/>
                    <a:stretch>
                      <a:fillRect/>
                    </a:stretch>
                  </pic:blipFill>
                  <pic:spPr>
                    <a:xfrm>
                      <a:off x="0" y="0"/>
                      <a:ext cx="2031365" cy="549275"/>
                    </a:xfrm>
                    <a:prstGeom prst="rect">
                      <a:avLst/>
                    </a:prstGeom>
                  </pic:spPr>
                </pic:pic>
              </a:graphicData>
            </a:graphic>
          </wp:anchor>
        </w:drawing>
      </w:r>
    </w:p>
    <w:p w14:paraId="55BD3467" w14:textId="5CB89DAA" w:rsidR="007A584F" w:rsidRDefault="00CE07B1">
      <w:pPr>
        <w:ind w:left="360"/>
        <w:rPr>
          <w:sz w:val="18"/>
        </w:rPr>
      </w:pPr>
      <w:r>
        <w:rPr>
          <w:sz w:val="18"/>
        </w:rPr>
        <w:t>Sponsored</w:t>
      </w:r>
      <w:r>
        <w:rPr>
          <w:spacing w:val="-4"/>
          <w:sz w:val="18"/>
        </w:rPr>
        <w:t xml:space="preserve"> </w:t>
      </w:r>
      <w:r>
        <w:rPr>
          <w:sz w:val="18"/>
        </w:rPr>
        <w:t>Programs</w:t>
      </w:r>
      <w:r>
        <w:rPr>
          <w:spacing w:val="4"/>
          <w:sz w:val="18"/>
        </w:rPr>
        <w:t xml:space="preserve"> </w:t>
      </w:r>
      <w:r>
        <w:rPr>
          <w:spacing w:val="-2"/>
          <w:sz w:val="18"/>
        </w:rPr>
        <w:t>Administration</w:t>
      </w:r>
    </w:p>
    <w:p w14:paraId="62AE96B7" w14:textId="45127CF1" w:rsidR="00CE07B1" w:rsidRDefault="00CE07B1" w:rsidP="00CE07B1">
      <w:pPr>
        <w:ind w:left="360" w:right="5263"/>
        <w:rPr>
          <w:spacing w:val="-7"/>
          <w:sz w:val="18"/>
        </w:rPr>
      </w:pPr>
      <w:r>
        <w:rPr>
          <w:sz w:val="18"/>
        </w:rPr>
        <w:t>601 Turner Ave Garage – Room 201</w:t>
      </w:r>
    </w:p>
    <w:p w14:paraId="264D54DB" w14:textId="34DB789B" w:rsidR="00CE07B1" w:rsidRPr="00CE07B1" w:rsidRDefault="00CE07B1" w:rsidP="00CE07B1">
      <w:pPr>
        <w:ind w:left="360" w:right="5263"/>
        <w:rPr>
          <w:spacing w:val="-7"/>
          <w:sz w:val="18"/>
        </w:rPr>
      </w:pPr>
      <w:r>
        <w:rPr>
          <w:sz w:val="18"/>
        </w:rPr>
        <w:t>Columbia,</w:t>
      </w:r>
      <w:r>
        <w:rPr>
          <w:spacing w:val="-5"/>
          <w:sz w:val="18"/>
        </w:rPr>
        <w:t xml:space="preserve"> </w:t>
      </w:r>
      <w:r>
        <w:rPr>
          <w:sz w:val="18"/>
        </w:rPr>
        <w:t>MO</w:t>
      </w:r>
      <w:r>
        <w:rPr>
          <w:spacing w:val="-6"/>
          <w:sz w:val="18"/>
        </w:rPr>
        <w:t xml:space="preserve"> </w:t>
      </w:r>
      <w:r>
        <w:rPr>
          <w:sz w:val="18"/>
        </w:rPr>
        <w:t xml:space="preserve">65211-0001 </w:t>
      </w:r>
    </w:p>
    <w:p w14:paraId="569045D5" w14:textId="4A3D21FA" w:rsidR="007A584F" w:rsidRDefault="00CE07B1">
      <w:pPr>
        <w:ind w:left="360" w:right="5263"/>
        <w:rPr>
          <w:sz w:val="18"/>
        </w:rPr>
      </w:pPr>
      <w:r>
        <w:rPr>
          <w:sz w:val="18"/>
        </w:rPr>
        <w:t xml:space="preserve">573-882-7560 | </w:t>
      </w:r>
      <w:hyperlink r:id="rId9">
        <w:r>
          <w:rPr>
            <w:sz w:val="18"/>
          </w:rPr>
          <w:t>grantsdc@missouri.edu</w:t>
        </w:r>
      </w:hyperlink>
    </w:p>
    <w:sectPr w:rsidR="007A584F">
      <w:pgSz w:w="12240" w:h="15840"/>
      <w:pgMar w:top="64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42924"/>
    <w:multiLevelType w:val="hybridMultilevel"/>
    <w:tmpl w:val="1BB666B0"/>
    <w:lvl w:ilvl="0" w:tplc="D28E3838">
      <w:numFmt w:val="bullet"/>
      <w:lvlText w:val=""/>
      <w:lvlJc w:val="left"/>
      <w:pPr>
        <w:ind w:left="1079" w:hanging="360"/>
      </w:pPr>
      <w:rPr>
        <w:rFonts w:ascii="Symbol" w:eastAsia="Symbol" w:hAnsi="Symbol" w:cs="Symbol" w:hint="default"/>
        <w:b w:val="0"/>
        <w:bCs w:val="0"/>
        <w:i w:val="0"/>
        <w:iCs w:val="0"/>
        <w:spacing w:val="0"/>
        <w:w w:val="99"/>
        <w:sz w:val="20"/>
        <w:szCs w:val="20"/>
        <w:lang w:val="en-US" w:eastAsia="en-US" w:bidi="ar-SA"/>
      </w:rPr>
    </w:lvl>
    <w:lvl w:ilvl="1" w:tplc="22CC4B88">
      <w:numFmt w:val="bullet"/>
      <w:lvlText w:val="•"/>
      <w:lvlJc w:val="left"/>
      <w:pPr>
        <w:ind w:left="1980" w:hanging="360"/>
      </w:pPr>
      <w:rPr>
        <w:rFonts w:hint="default"/>
        <w:lang w:val="en-US" w:eastAsia="en-US" w:bidi="ar-SA"/>
      </w:rPr>
    </w:lvl>
    <w:lvl w:ilvl="2" w:tplc="F3243CAA">
      <w:numFmt w:val="bullet"/>
      <w:lvlText w:val="•"/>
      <w:lvlJc w:val="left"/>
      <w:pPr>
        <w:ind w:left="2880" w:hanging="360"/>
      </w:pPr>
      <w:rPr>
        <w:rFonts w:hint="default"/>
        <w:lang w:val="en-US" w:eastAsia="en-US" w:bidi="ar-SA"/>
      </w:rPr>
    </w:lvl>
    <w:lvl w:ilvl="3" w:tplc="9CCE18B8">
      <w:numFmt w:val="bullet"/>
      <w:lvlText w:val="•"/>
      <w:lvlJc w:val="left"/>
      <w:pPr>
        <w:ind w:left="3780" w:hanging="360"/>
      </w:pPr>
      <w:rPr>
        <w:rFonts w:hint="default"/>
        <w:lang w:val="en-US" w:eastAsia="en-US" w:bidi="ar-SA"/>
      </w:rPr>
    </w:lvl>
    <w:lvl w:ilvl="4" w:tplc="9D020484">
      <w:numFmt w:val="bullet"/>
      <w:lvlText w:val="•"/>
      <w:lvlJc w:val="left"/>
      <w:pPr>
        <w:ind w:left="4680" w:hanging="360"/>
      </w:pPr>
      <w:rPr>
        <w:rFonts w:hint="default"/>
        <w:lang w:val="en-US" w:eastAsia="en-US" w:bidi="ar-SA"/>
      </w:rPr>
    </w:lvl>
    <w:lvl w:ilvl="5" w:tplc="7B7821EE">
      <w:numFmt w:val="bullet"/>
      <w:lvlText w:val="•"/>
      <w:lvlJc w:val="left"/>
      <w:pPr>
        <w:ind w:left="5580" w:hanging="360"/>
      </w:pPr>
      <w:rPr>
        <w:rFonts w:hint="default"/>
        <w:lang w:val="en-US" w:eastAsia="en-US" w:bidi="ar-SA"/>
      </w:rPr>
    </w:lvl>
    <w:lvl w:ilvl="6" w:tplc="2FB83598">
      <w:numFmt w:val="bullet"/>
      <w:lvlText w:val="•"/>
      <w:lvlJc w:val="left"/>
      <w:pPr>
        <w:ind w:left="6480" w:hanging="360"/>
      </w:pPr>
      <w:rPr>
        <w:rFonts w:hint="default"/>
        <w:lang w:val="en-US" w:eastAsia="en-US" w:bidi="ar-SA"/>
      </w:rPr>
    </w:lvl>
    <w:lvl w:ilvl="7" w:tplc="96E097E6">
      <w:numFmt w:val="bullet"/>
      <w:lvlText w:val="•"/>
      <w:lvlJc w:val="left"/>
      <w:pPr>
        <w:ind w:left="7380" w:hanging="360"/>
      </w:pPr>
      <w:rPr>
        <w:rFonts w:hint="default"/>
        <w:lang w:val="en-US" w:eastAsia="en-US" w:bidi="ar-SA"/>
      </w:rPr>
    </w:lvl>
    <w:lvl w:ilvl="8" w:tplc="F9F02D70">
      <w:numFmt w:val="bullet"/>
      <w:lvlText w:val="•"/>
      <w:lvlJc w:val="left"/>
      <w:pPr>
        <w:ind w:left="8280" w:hanging="360"/>
      </w:pPr>
      <w:rPr>
        <w:rFonts w:hint="default"/>
        <w:lang w:val="en-US" w:eastAsia="en-US" w:bidi="ar-SA"/>
      </w:rPr>
    </w:lvl>
  </w:abstractNum>
  <w:num w:numId="1" w16cid:durableId="975255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84F"/>
    <w:rsid w:val="00074734"/>
    <w:rsid w:val="00140652"/>
    <w:rsid w:val="00171E30"/>
    <w:rsid w:val="005E3AF5"/>
    <w:rsid w:val="006D4866"/>
    <w:rsid w:val="00780096"/>
    <w:rsid w:val="00785B97"/>
    <w:rsid w:val="007A584F"/>
    <w:rsid w:val="00AB0B58"/>
    <w:rsid w:val="00B5674A"/>
    <w:rsid w:val="00BF6978"/>
    <w:rsid w:val="00CE07B1"/>
    <w:rsid w:val="00DF4C8D"/>
    <w:rsid w:val="00EC739C"/>
    <w:rsid w:val="00ED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59B87"/>
  <w15:docId w15:val="{BA7B949E-82E1-4144-AB4C-24B3919F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202"/>
      <w:ind w:left="360"/>
      <w:outlineLvl w:val="0"/>
    </w:pPr>
    <w:rPr>
      <w:b/>
      <w:bCs/>
      <w:sz w:val="26"/>
      <w:szCs w:val="26"/>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8"/>
      <w:ind w:left="107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F6978"/>
    <w:rPr>
      <w:color w:val="0000FF" w:themeColor="hyperlink"/>
      <w:u w:val="single"/>
    </w:rPr>
  </w:style>
  <w:style w:type="character" w:styleId="UnresolvedMention">
    <w:name w:val="Unresolved Mention"/>
    <w:basedOn w:val="DefaultParagraphFont"/>
    <w:uiPriority w:val="99"/>
    <w:semiHidden/>
    <w:unhideWhenUsed/>
    <w:rsid w:val="00BF6978"/>
    <w:rPr>
      <w:color w:val="605E5C"/>
      <w:shd w:val="clear" w:color="auto" w:fill="E1DFDD"/>
    </w:rPr>
  </w:style>
  <w:style w:type="character" w:styleId="FollowedHyperlink">
    <w:name w:val="FollowedHyperlink"/>
    <w:basedOn w:val="DefaultParagraphFont"/>
    <w:uiPriority w:val="99"/>
    <w:semiHidden/>
    <w:unhideWhenUsed/>
    <w:rsid w:val="0014065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muresearchospa@missouri.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ppm.missouri.edu/policy/journal-entries/" TargetMode="External"/><Relationship Id="rId11" Type="http://schemas.openxmlformats.org/officeDocument/2006/relationships/theme" Target="theme/theme1.xml"/><Relationship Id="rId5" Type="http://schemas.openxmlformats.org/officeDocument/2006/relationships/hyperlink" Target="https://bppm.missouri.edu/policy/departmental-fiscal-oversigh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rantsdc@missour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670</Words>
  <Characters>3819</Characters>
  <Application>Microsoft Office Word</Application>
  <DocSecurity>0</DocSecurity>
  <Lines>31</Lines>
  <Paragraphs>8</Paragraphs>
  <ScaleCrop>false</ScaleCrop>
  <Company>University of Missouri</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Campbell</dc:creator>
  <cp:lastModifiedBy>Old, Melissa</cp:lastModifiedBy>
  <cp:revision>7</cp:revision>
  <dcterms:created xsi:type="dcterms:W3CDTF">2026-09-09T20:20:00Z</dcterms:created>
  <dcterms:modified xsi:type="dcterms:W3CDTF">2026-09-11T16:30:00Z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2014-05-06T00:00:00Z</vt:filetime>
  </property>
  <property fmtid="{D5CDD505-2E9C-101B-9397-08002B2CF9AE}" pid="3" name="Creator">
    <vt:lpwstr>Acrobat PDFMaker 10.1 for Word</vt:lpwstr>
  </property>
  <property fmtid="{D5CDD505-2E9C-101B-9397-08002B2CF9AE}" pid="4" name="LastSaved">
    <vt:filetime>2026-04-23T00:00:00Z</vt:filetime>
  </property>
  <property fmtid="{D5CDD505-2E9C-101B-9397-08002B2CF9AE}" pid="5" name="Producer">
    <vt:lpwstr>Adobe PDF Library 10.0</vt:lpwstr>
  </property>
  <property fmtid="{D5CDD505-2E9C-101B-9397-08002B2CF9AE}" pid="6" name="SourceModified">
    <vt:lpwstr>D:20140506150539</vt:lpwstr>
  </property>
</Properties>
</file>