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055F" w14:textId="77777777" w:rsidR="007A584F" w:rsidRDefault="00CE07B1">
      <w:pPr>
        <w:spacing w:before="75"/>
        <w:ind w:left="360"/>
        <w:rPr>
          <w:sz w:val="28"/>
        </w:rPr>
      </w:pPr>
      <w:r>
        <w:rPr>
          <w:color w:val="404040"/>
          <w:sz w:val="28"/>
        </w:rPr>
        <w:t>Cost</w:t>
      </w:r>
      <w:r>
        <w:rPr>
          <w:color w:val="404040"/>
          <w:spacing w:val="41"/>
          <w:sz w:val="28"/>
        </w:rPr>
        <w:t xml:space="preserve"> </w:t>
      </w:r>
      <w:r>
        <w:rPr>
          <w:color w:val="404040"/>
          <w:sz w:val="28"/>
        </w:rPr>
        <w:t>Transfers,</w:t>
      </w:r>
      <w:r>
        <w:rPr>
          <w:color w:val="404040"/>
          <w:spacing w:val="44"/>
          <w:sz w:val="28"/>
        </w:rPr>
        <w:t xml:space="preserve"> </w:t>
      </w:r>
      <w:r>
        <w:rPr>
          <w:color w:val="404040"/>
          <w:sz w:val="28"/>
        </w:rPr>
        <w:t>Non-</w:t>
      </w:r>
      <w:r>
        <w:rPr>
          <w:color w:val="404040"/>
          <w:spacing w:val="-2"/>
          <w:sz w:val="28"/>
        </w:rPr>
        <w:t>Payroll</w:t>
      </w:r>
    </w:p>
    <w:p w14:paraId="1DAFE0E9" w14:textId="77777777" w:rsidR="007A584F" w:rsidRDefault="00CE07B1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D3E43A" wp14:editId="16E77BD6">
                <wp:simplePos x="0" y="0"/>
                <wp:positionH relativeFrom="page">
                  <wp:posOffset>896111</wp:posOffset>
                </wp:positionH>
                <wp:positionV relativeFrom="paragraph">
                  <wp:posOffset>47815</wp:posOffset>
                </wp:positionV>
                <wp:extent cx="59804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0176" y="12192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8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4ED74" id="Graphic 1" o:spid="_x0000_s1026" style="position:absolute;margin-left:70.55pt;margin-top:3.75pt;width:470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" path="m5980176,l,,,12192r5980176,l5980176,xe" fillcolor="#f1b82d" stroked="f">
                <v:path arrowok="t"/>
                <w10:wrap type="topAndBottom" anchorx="page"/>
              </v:shape>
            </w:pict>
          </mc:Fallback>
        </mc:AlternateContent>
      </w:r>
    </w:p>
    <w:p w14:paraId="7F54047C" w14:textId="77777777" w:rsidR="007A584F" w:rsidRDefault="007A584F">
      <w:pPr>
        <w:pStyle w:val="BodyText"/>
        <w:spacing w:before="9"/>
        <w:rPr>
          <w:sz w:val="24"/>
        </w:rPr>
      </w:pPr>
    </w:p>
    <w:p w14:paraId="553D11F1" w14:textId="77777777" w:rsidR="007A584F" w:rsidRPr="00CE07B1" w:rsidRDefault="00CE07B1">
      <w:pPr>
        <w:pStyle w:val="Heading2"/>
      </w:pPr>
      <w:bookmarkStart w:id="0" w:name="Policies"/>
      <w:bookmarkEnd w:id="0"/>
      <w:r w:rsidRPr="00CE07B1">
        <w:rPr>
          <w:spacing w:val="-2"/>
        </w:rPr>
        <w:t>Policies</w:t>
      </w:r>
    </w:p>
    <w:p w14:paraId="22E61EFF" w14:textId="77777777" w:rsidR="007A584F" w:rsidRDefault="00CE07B1">
      <w:pPr>
        <w:pStyle w:val="BodyText"/>
        <w:spacing w:before="41" w:line="278" w:lineRule="auto"/>
        <w:ind w:left="360" w:right="1850"/>
      </w:pPr>
      <w:r>
        <w:t>Business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Manual:</w:t>
      </w:r>
      <w:r>
        <w:rPr>
          <w:spacing w:val="-7"/>
        </w:rPr>
        <w:t xml:space="preserve"> </w:t>
      </w:r>
      <w:hyperlink r:id="rId5">
        <w:r>
          <w:rPr>
            <w:color w:val="0000FF"/>
            <w:u w:val="single" w:color="0000FF"/>
          </w:rPr>
          <w:t>BPM</w:t>
        </w:r>
        <w:r>
          <w:rPr>
            <w:rFonts w:ascii="Cambria Math"/>
            <w:color w:val="0000FF"/>
            <w:u w:val="single" w:color="0000FF"/>
          </w:rPr>
          <w:t>-</w:t>
        </w:r>
        <w:r>
          <w:rPr>
            <w:color w:val="0000FF"/>
            <w:u w:val="single" w:color="0000FF"/>
          </w:rPr>
          <w:t>213</w:t>
        </w:r>
        <w:r>
          <w:t>,</w:t>
        </w:r>
      </w:hyperlink>
      <w:r>
        <w:rPr>
          <w:spacing w:val="-4"/>
        </w:rPr>
        <w:t xml:space="preserve"> </w:t>
      </w:r>
      <w:r>
        <w:t>Correction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t xml:space="preserve">Items Business Policy and Procedure Manual: </w:t>
      </w:r>
      <w:hyperlink r:id="rId6">
        <w:r>
          <w:rPr>
            <w:color w:val="0000FF"/>
            <w:u w:val="single" w:color="0000FF"/>
          </w:rPr>
          <w:t>BPPM 2:190</w:t>
        </w:r>
        <w:r>
          <w:t>,</w:t>
        </w:r>
      </w:hyperlink>
      <w:r>
        <w:t xml:space="preserve"> Journal Entries</w:t>
      </w:r>
    </w:p>
    <w:p w14:paraId="713FEB4F" w14:textId="77777777" w:rsidR="007A584F" w:rsidRPr="00CE07B1" w:rsidRDefault="00CE07B1">
      <w:pPr>
        <w:pStyle w:val="Heading2"/>
        <w:spacing w:before="199"/>
      </w:pPr>
      <w:bookmarkStart w:id="1" w:name="Forms"/>
      <w:bookmarkEnd w:id="1"/>
      <w:r w:rsidRPr="00CE07B1">
        <w:rPr>
          <w:spacing w:val="-2"/>
        </w:rPr>
        <w:t>Forms</w:t>
      </w:r>
    </w:p>
    <w:p w14:paraId="3C332B43" w14:textId="77777777" w:rsidR="007A584F" w:rsidRDefault="00CE07B1">
      <w:pPr>
        <w:pStyle w:val="BodyText"/>
        <w:spacing w:before="44"/>
        <w:ind w:left="360"/>
      </w:pPr>
      <w:bookmarkStart w:id="2" w:name="None"/>
      <w:bookmarkEnd w:id="2"/>
      <w:r>
        <w:rPr>
          <w:spacing w:val="-4"/>
        </w:rPr>
        <w:t>None</w:t>
      </w:r>
    </w:p>
    <w:p w14:paraId="120F8308" w14:textId="77777777" w:rsidR="007A584F" w:rsidRPr="00CE07B1" w:rsidRDefault="00CE07B1">
      <w:pPr>
        <w:pStyle w:val="Heading2"/>
        <w:spacing w:before="238"/>
      </w:pPr>
      <w:bookmarkStart w:id="3" w:name="Overview"/>
      <w:bookmarkEnd w:id="3"/>
      <w:r w:rsidRPr="00CE07B1">
        <w:rPr>
          <w:spacing w:val="-2"/>
        </w:rPr>
        <w:t>Overview</w:t>
      </w:r>
    </w:p>
    <w:p w14:paraId="78228DA3" w14:textId="77777777" w:rsidR="007A584F" w:rsidRDefault="00CE07B1">
      <w:pPr>
        <w:pStyle w:val="BodyText"/>
        <w:spacing w:before="43" w:line="276" w:lineRule="auto"/>
        <w:ind w:left="360" w:right="394"/>
      </w:pPr>
      <w:r>
        <w:t>A cost transfer is a reallocation of costs after the initial transaction has occurred. Cost transfers occur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reasons:</w:t>
      </w:r>
      <w:r>
        <w:rPr>
          <w:spacing w:val="-3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allocate</w:t>
      </w:r>
      <w:r>
        <w:rPr>
          <w:spacing w:val="-2"/>
        </w:rPr>
        <w:t xml:space="preserve"> </w:t>
      </w:r>
      <w:r>
        <w:t>multi-business</w:t>
      </w:r>
      <w:r>
        <w:rPr>
          <w:spacing w:val="-3"/>
        </w:rPr>
        <w:t xml:space="preserve"> </w:t>
      </w:r>
      <w:r>
        <w:t>unit expenses, and (2) to correct clerical or bookkeeping errors. Cost transfers are not appropriate</w:t>
      </w:r>
      <w:r>
        <w:rPr>
          <w:spacing w:val="40"/>
        </w:rPr>
        <w:t xml:space="preserve"> </w:t>
      </w:r>
      <w:r>
        <w:t>for (1) spending out an unused award budget, (2) covering cost overruns, (3) avoiding restrictions imposed by law or other agreements, or (4) other reasons of convenience.</w:t>
      </w:r>
    </w:p>
    <w:p w14:paraId="60A0AE35" w14:textId="77777777" w:rsidR="007A584F" w:rsidRDefault="007A584F">
      <w:pPr>
        <w:pStyle w:val="BodyText"/>
        <w:spacing w:before="37"/>
      </w:pPr>
    </w:p>
    <w:p w14:paraId="0F481B2C" w14:textId="77777777" w:rsidR="007A584F" w:rsidRDefault="00CE07B1">
      <w:pPr>
        <w:pStyle w:val="BodyText"/>
        <w:spacing w:line="276" w:lineRule="auto"/>
        <w:ind w:left="359" w:right="337"/>
      </w:pPr>
      <w:r>
        <w:t>Any</w:t>
      </w:r>
      <w:r>
        <w:rPr>
          <w:spacing w:val="-3"/>
        </w:rPr>
        <w:t xml:space="preserve"> </w:t>
      </w:r>
      <w:r>
        <w:t>correction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Chartfields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 accounting periods (months) after the end of the accounting period in which the original transaction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posted.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corrections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 which the original entry occurred.</w:t>
      </w:r>
    </w:p>
    <w:p w14:paraId="5C471A62" w14:textId="77777777" w:rsidR="007A584F" w:rsidRDefault="007A584F">
      <w:pPr>
        <w:pStyle w:val="BodyText"/>
        <w:spacing w:before="36"/>
      </w:pPr>
    </w:p>
    <w:p w14:paraId="2ECC12AB" w14:textId="77777777" w:rsidR="007A584F" w:rsidRDefault="00CE07B1">
      <w:pPr>
        <w:pStyle w:val="BodyText"/>
        <w:spacing w:line="276" w:lineRule="auto"/>
        <w:ind w:left="359" w:right="355"/>
      </w:pPr>
      <w:r>
        <w:t>Federal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stipulate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justification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correcting entries (CE). Sufficient documentation includes the following: (1) justification as to why the transfer is necessary; (2) that the charge is allowable and allocable, directly benefits the award, and is within the period of availability; (3) that appropriate approvals are secured;</w:t>
      </w:r>
      <w:r>
        <w:rPr>
          <w:spacing w:val="-1"/>
        </w:rPr>
        <w:t xml:space="preserve"> </w:t>
      </w:r>
      <w:r>
        <w:t>and (4) in the case of error, how the error will be avoided in the future.</w:t>
      </w:r>
    </w:p>
    <w:p w14:paraId="65F507A1" w14:textId="77777777" w:rsidR="007A584F" w:rsidRPr="00CE07B1" w:rsidRDefault="00CE07B1">
      <w:pPr>
        <w:pStyle w:val="Heading1"/>
      </w:pPr>
      <w:bookmarkStart w:id="4" w:name="Risk"/>
      <w:bookmarkEnd w:id="4"/>
      <w:r w:rsidRPr="00CE07B1">
        <w:rPr>
          <w:spacing w:val="-4"/>
        </w:rPr>
        <w:t>Risk</w:t>
      </w:r>
    </w:p>
    <w:p w14:paraId="04329FB5" w14:textId="77777777" w:rsidR="007A584F" w:rsidRDefault="00CE07B1">
      <w:pPr>
        <w:pStyle w:val="BodyText"/>
        <w:spacing w:before="46" w:line="276" w:lineRule="auto"/>
        <w:ind w:left="360"/>
      </w:pPr>
      <w:bookmarkStart w:id="5" w:name="Inappropriate_transfers_could_result_in_"/>
      <w:bookmarkEnd w:id="5"/>
      <w:r>
        <w:t>Inappropriate transfers could result in the disallowance of certain expenditures and/or possible reduction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agency.</w:t>
      </w:r>
      <w:r>
        <w:rPr>
          <w:spacing w:val="-6"/>
        </w:rPr>
        <w:t xml:space="preserve"> </w:t>
      </w:r>
      <w:r>
        <w:t>Inappropriate</w:t>
      </w:r>
      <w:r>
        <w:rPr>
          <w:spacing w:val="-3"/>
        </w:rPr>
        <w:t xml:space="preserve"> </w:t>
      </w:r>
      <w:r>
        <w:t>transfers</w:t>
      </w:r>
      <w:r>
        <w:rPr>
          <w:spacing w:val="-4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jeopardize</w:t>
      </w:r>
      <w:r>
        <w:rPr>
          <w:spacing w:val="-3"/>
        </w:rPr>
        <w:t xml:space="preserve"> </w:t>
      </w:r>
      <w:r>
        <w:t>the reputation of the University and result in fines and sanctions.</w:t>
      </w:r>
    </w:p>
    <w:p w14:paraId="25258BAB" w14:textId="77777777" w:rsidR="007A584F" w:rsidRPr="00CE07B1" w:rsidRDefault="00CE07B1">
      <w:pPr>
        <w:pStyle w:val="Heading2"/>
        <w:spacing w:before="201"/>
      </w:pPr>
      <w:bookmarkStart w:id="6" w:name="Procedure"/>
      <w:bookmarkEnd w:id="6"/>
      <w:r w:rsidRPr="00CE07B1">
        <w:rPr>
          <w:spacing w:val="-2"/>
        </w:rPr>
        <w:t>Procedure</w:t>
      </w:r>
    </w:p>
    <w:p w14:paraId="2C6BD958" w14:textId="77777777" w:rsidR="007A584F" w:rsidRDefault="00CE07B1">
      <w:pPr>
        <w:pStyle w:val="BodyText"/>
        <w:spacing w:before="42" w:line="276" w:lineRule="auto"/>
        <w:ind w:left="360" w:right="355"/>
      </w:pPr>
      <w:r>
        <w:rPr>
          <w:i/>
        </w:rPr>
        <w:t>Principal</w:t>
      </w:r>
      <w:r>
        <w:rPr>
          <w:i/>
          <w:spacing w:val="-2"/>
        </w:rPr>
        <w:t xml:space="preserve"> </w:t>
      </w:r>
      <w:r>
        <w:rPr>
          <w:i/>
        </w:rPr>
        <w:t>Investigator</w:t>
      </w:r>
      <w:r>
        <w:rPr>
          <w:i/>
          <w:spacing w:val="-3"/>
        </w:rPr>
        <w:t xml:space="preserve"> </w:t>
      </w:r>
      <w:r>
        <w:rPr>
          <w:i/>
        </w:rPr>
        <w:t>(PI)</w:t>
      </w:r>
      <w:r>
        <w:rPr>
          <w:i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 has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responsibly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 award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 xml:space="preserve">all CEs are allowable and allocable to the applicable projects. </w:t>
      </w:r>
      <w:proofErr w:type="gramStart"/>
      <w:r>
        <w:t>In order to</w:t>
      </w:r>
      <w:proofErr w:type="gramEnd"/>
      <w:r>
        <w:t xml:space="preserve"> have proper oversight, the PI should be aware of the applicable compliance requirements. The PI should request CEs in a timely manner when corrections are needed to non-payroll expenses.</w:t>
      </w:r>
    </w:p>
    <w:p w14:paraId="407DBD9D" w14:textId="77777777" w:rsidR="007A584F" w:rsidRDefault="007A584F">
      <w:pPr>
        <w:pStyle w:val="BodyText"/>
        <w:spacing w:before="38"/>
      </w:pPr>
    </w:p>
    <w:p w14:paraId="32E0162A" w14:textId="77777777" w:rsidR="007A584F" w:rsidRDefault="00CE07B1">
      <w:pPr>
        <w:pStyle w:val="BodyText"/>
        <w:spacing w:line="276" w:lineRule="auto"/>
        <w:ind w:left="359" w:right="337"/>
      </w:pPr>
      <w:r>
        <w:rPr>
          <w:i/>
        </w:rPr>
        <w:t xml:space="preserve">Departmental Research Administrator (DRA) </w:t>
      </w:r>
      <w:r>
        <w:t>– The DRA assists the PI in ensuring that all transactions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recorded.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</w:t>
      </w:r>
      <w:r>
        <w:rPr>
          <w:spacing w:val="-7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expenditures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transactions,</w:t>
      </w:r>
      <w:r>
        <w:rPr>
          <w:spacing w:val="-6"/>
        </w:rPr>
        <w:t xml:space="preserve"> </w:t>
      </w:r>
      <w:r>
        <w:t>provides monthly budget variance reports for the PI to review, prepares cost transfers timely, and maintains documentation for all corrections.</w:t>
      </w:r>
    </w:p>
    <w:p w14:paraId="59BF12D6" w14:textId="77777777" w:rsidR="007A584F" w:rsidRDefault="007A584F">
      <w:pPr>
        <w:pStyle w:val="BodyText"/>
        <w:spacing w:before="36"/>
      </w:pPr>
    </w:p>
    <w:p w14:paraId="124283D2" w14:textId="6CD6898A" w:rsidR="007A584F" w:rsidRDefault="00CE07B1">
      <w:pPr>
        <w:pStyle w:val="BodyText"/>
        <w:spacing w:line="276" w:lineRule="auto"/>
        <w:ind w:left="359" w:right="337"/>
      </w:pPr>
      <w:r>
        <w:rPr>
          <w:i/>
        </w:rPr>
        <w:t>SPA</w:t>
      </w:r>
      <w:r>
        <w:rPr>
          <w:i/>
          <w:spacing w:val="-5"/>
        </w:rPr>
        <w:t xml:space="preserve"> </w:t>
      </w:r>
      <w:r>
        <w:rPr>
          <w:i/>
        </w:rPr>
        <w:t>Post-award</w:t>
      </w:r>
      <w:r>
        <w:rPr>
          <w:i/>
          <w:spacing w:val="-1"/>
        </w:rPr>
        <w:t xml:space="preserve"> </w:t>
      </w:r>
      <w:r>
        <w:rPr>
          <w:i/>
        </w:rPr>
        <w:t>Team</w:t>
      </w:r>
      <w:r>
        <w:rPr>
          <w:i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Post-award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monitors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Department when CEs are needed. Quarterly, the Post-award Team reviews the CE report (prepared by the SPA Compliance Team) for the following: (1) CEs that represent 10% of the</w:t>
      </w:r>
    </w:p>
    <w:p w14:paraId="1CC7CE3B" w14:textId="77777777" w:rsidR="007A584F" w:rsidRDefault="007A584F">
      <w:pPr>
        <w:pStyle w:val="BodyText"/>
        <w:spacing w:line="276" w:lineRule="auto"/>
        <w:sectPr w:rsidR="007A584F">
          <w:type w:val="continuous"/>
          <w:pgSz w:w="12240" w:h="15840"/>
          <w:pgMar w:top="1100" w:right="1080" w:bottom="280" w:left="1080" w:header="720" w:footer="720" w:gutter="0"/>
          <w:cols w:space="720"/>
        </w:sectPr>
      </w:pPr>
    </w:p>
    <w:p w14:paraId="383F7717" w14:textId="77777777" w:rsidR="007A584F" w:rsidRDefault="00CE07B1">
      <w:pPr>
        <w:spacing w:before="80"/>
        <w:ind w:right="357"/>
        <w:jc w:val="right"/>
        <w:rPr>
          <w:sz w:val="16"/>
        </w:rPr>
      </w:pPr>
      <w:r>
        <w:rPr>
          <w:spacing w:val="-10"/>
          <w:sz w:val="16"/>
        </w:rPr>
        <w:lastRenderedPageBreak/>
        <w:t>2</w:t>
      </w:r>
    </w:p>
    <w:p w14:paraId="75C87608" w14:textId="77777777" w:rsidR="007A584F" w:rsidRDefault="007A584F">
      <w:pPr>
        <w:pStyle w:val="BodyText"/>
        <w:spacing w:before="27"/>
      </w:pPr>
    </w:p>
    <w:p w14:paraId="26651874" w14:textId="77777777" w:rsidR="007A584F" w:rsidRDefault="00CE07B1">
      <w:pPr>
        <w:pStyle w:val="BodyText"/>
        <w:spacing w:line="276" w:lineRule="auto"/>
        <w:ind w:left="359" w:right="337"/>
      </w:pPr>
      <w:r>
        <w:t>total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amount,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and (3)</w:t>
      </w:r>
      <w:r>
        <w:rPr>
          <w:spacing w:val="-4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after the award period.</w:t>
      </w:r>
      <w:r>
        <w:rPr>
          <w:spacing w:val="40"/>
        </w:rPr>
        <w:t xml:space="preserve"> </w:t>
      </w:r>
      <w:r>
        <w:t>The Post-award Team works with the Department and adds approver comments as needed.</w:t>
      </w:r>
    </w:p>
    <w:p w14:paraId="0F67E43F" w14:textId="77777777" w:rsidR="007A584F" w:rsidRDefault="007A584F">
      <w:pPr>
        <w:pStyle w:val="BodyText"/>
        <w:spacing w:before="37"/>
      </w:pPr>
    </w:p>
    <w:p w14:paraId="1FAC1104" w14:textId="7D6775E1" w:rsidR="007A584F" w:rsidRDefault="00CE07B1">
      <w:pPr>
        <w:pStyle w:val="BodyText"/>
        <w:spacing w:line="276" w:lineRule="auto"/>
        <w:ind w:left="359" w:right="337"/>
      </w:pPr>
      <w:r>
        <w:rPr>
          <w:i/>
        </w:rPr>
        <w:t xml:space="preserve">SPA Compliance Team </w:t>
      </w:r>
      <w:r>
        <w:t>–</w:t>
      </w:r>
      <w:r>
        <w:rPr>
          <w:spacing w:val="80"/>
        </w:rPr>
        <w:t xml:space="preserve"> </w:t>
      </w:r>
      <w:r>
        <w:t>The Compliance Team generates a CE report quarterly and distributes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Post-award</w:t>
      </w:r>
      <w:r>
        <w:rPr>
          <w:spacing w:val="-3"/>
        </w:rPr>
        <w:t xml:space="preserve"> </w:t>
      </w:r>
      <w:r>
        <w:t>Pods.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internally ensuring proper segregation of duties.</w:t>
      </w:r>
    </w:p>
    <w:p w14:paraId="27158EE9" w14:textId="77777777" w:rsidR="007A584F" w:rsidRDefault="007A584F">
      <w:pPr>
        <w:pStyle w:val="BodyText"/>
        <w:spacing w:before="37"/>
      </w:pPr>
    </w:p>
    <w:p w14:paraId="01184CED" w14:textId="77777777" w:rsidR="007A584F" w:rsidRPr="00CE07B1" w:rsidRDefault="00CE07B1">
      <w:pPr>
        <w:pStyle w:val="Heading2"/>
      </w:pPr>
      <w:bookmarkStart w:id="7" w:name="Responsibilities"/>
      <w:bookmarkEnd w:id="7"/>
      <w:r w:rsidRPr="00CE07B1">
        <w:rPr>
          <w:spacing w:val="-2"/>
        </w:rPr>
        <w:t>Responsibilities</w:t>
      </w:r>
    </w:p>
    <w:p w14:paraId="1C4BD021" w14:textId="77777777" w:rsidR="007A584F" w:rsidRDefault="00CE07B1">
      <w:pPr>
        <w:pStyle w:val="BodyText"/>
        <w:spacing w:before="43"/>
        <w:ind w:left="360"/>
      </w:pPr>
      <w:r>
        <w:t>Below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relate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237C4607" w14:textId="77777777" w:rsidR="007A584F" w:rsidRDefault="00CE07B1">
      <w:pPr>
        <w:spacing w:before="238"/>
        <w:ind w:left="360"/>
        <w:rPr>
          <w:i/>
          <w:sz w:val="20"/>
        </w:rPr>
      </w:pPr>
      <w:r>
        <w:rPr>
          <w:i/>
          <w:sz w:val="20"/>
        </w:rPr>
        <w:t>Principal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Investigator:</w:t>
      </w:r>
    </w:p>
    <w:p w14:paraId="719736D2" w14:textId="77777777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spacing w:before="35"/>
        <w:rPr>
          <w:sz w:val="20"/>
        </w:rPr>
      </w:pPr>
      <w:r>
        <w:rPr>
          <w:sz w:val="20"/>
        </w:rPr>
        <w:t>Maintains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11F084B" w14:textId="77777777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right="868"/>
        <w:rPr>
          <w:sz w:val="20"/>
        </w:rPr>
      </w:pPr>
      <w:r>
        <w:rPr>
          <w:sz w:val="20"/>
        </w:rPr>
        <w:t>Ensures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transfers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allowable,</w:t>
      </w:r>
      <w:r>
        <w:rPr>
          <w:spacing w:val="-5"/>
          <w:sz w:val="20"/>
        </w:rPr>
        <w:t xml:space="preserve"> </w:t>
      </w:r>
      <w:r>
        <w:rPr>
          <w:sz w:val="20"/>
        </w:rPr>
        <w:t>properly</w:t>
      </w:r>
      <w:r>
        <w:rPr>
          <w:spacing w:val="-5"/>
          <w:sz w:val="20"/>
        </w:rPr>
        <w:t xml:space="preserve"> </w:t>
      </w:r>
      <w:r>
        <w:rPr>
          <w:sz w:val="20"/>
        </w:rPr>
        <w:t>documented,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timely </w:t>
      </w:r>
      <w:r>
        <w:rPr>
          <w:spacing w:val="-2"/>
          <w:sz w:val="20"/>
        </w:rPr>
        <w:t>manner.</w:t>
      </w:r>
    </w:p>
    <w:p w14:paraId="2E8DF9FE" w14:textId="77777777" w:rsidR="007A584F" w:rsidRDefault="007A584F">
      <w:pPr>
        <w:pStyle w:val="BodyText"/>
        <w:spacing w:before="36"/>
      </w:pPr>
    </w:p>
    <w:p w14:paraId="17BC4976" w14:textId="77777777" w:rsidR="007A584F" w:rsidRDefault="00CE07B1">
      <w:pPr>
        <w:ind w:left="359"/>
        <w:rPr>
          <w:i/>
          <w:sz w:val="20"/>
        </w:rPr>
      </w:pPr>
      <w:r>
        <w:rPr>
          <w:i/>
          <w:sz w:val="20"/>
        </w:rPr>
        <w:t>Departmental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Administrator:</w:t>
      </w:r>
    </w:p>
    <w:p w14:paraId="2D5AF295" w14:textId="77777777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rPr>
          <w:sz w:val="20"/>
        </w:rPr>
      </w:pPr>
      <w:r>
        <w:rPr>
          <w:sz w:val="20"/>
        </w:rPr>
        <w:t>Maintains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1519193F" w14:textId="77777777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spacing w:before="36"/>
        <w:rPr>
          <w:sz w:val="20"/>
        </w:rPr>
      </w:pPr>
      <w:r>
        <w:rPr>
          <w:sz w:val="20"/>
        </w:rPr>
        <w:t>Ensures</w:t>
      </w:r>
      <w:r>
        <w:rPr>
          <w:spacing w:val="-8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properly</w:t>
      </w:r>
      <w:r>
        <w:rPr>
          <w:spacing w:val="-8"/>
          <w:sz w:val="20"/>
        </w:rPr>
        <w:t xml:space="preserve"> </w:t>
      </w:r>
      <w:r>
        <w:rPr>
          <w:sz w:val="20"/>
        </w:rPr>
        <w:t>recorded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supported.</w:t>
      </w:r>
    </w:p>
    <w:p w14:paraId="7EEA3490" w14:textId="77777777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rPr>
          <w:sz w:val="20"/>
        </w:rPr>
      </w:pPr>
      <w:r>
        <w:rPr>
          <w:sz w:val="20"/>
        </w:rPr>
        <w:t>Prepares</w:t>
      </w:r>
      <w:r>
        <w:rPr>
          <w:spacing w:val="-7"/>
          <w:sz w:val="20"/>
        </w:rPr>
        <w:t xml:space="preserve"> </w:t>
      </w:r>
      <w:r>
        <w:rPr>
          <w:sz w:val="20"/>
        </w:rPr>
        <w:t>CEs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timely.</w:t>
      </w:r>
    </w:p>
    <w:p w14:paraId="79EF7EBB" w14:textId="77777777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spacing w:before="36" w:line="276" w:lineRule="auto"/>
        <w:ind w:right="579"/>
        <w:rPr>
          <w:sz w:val="20"/>
        </w:rPr>
      </w:pPr>
      <w:r>
        <w:rPr>
          <w:sz w:val="20"/>
        </w:rPr>
        <w:t>Retains supporting documentation according to the record retention requirements outlined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 record retention policies, whichever is more conservative.</w:t>
      </w:r>
    </w:p>
    <w:p w14:paraId="73DDC70A" w14:textId="05223799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rPr>
          <w:sz w:val="20"/>
        </w:rPr>
      </w:pPr>
      <w:r>
        <w:rPr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z w:val="20"/>
        </w:rPr>
        <w:t>supporting</w:t>
      </w:r>
      <w:r>
        <w:rPr>
          <w:spacing w:val="-8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SPA.</w:t>
      </w:r>
    </w:p>
    <w:p w14:paraId="1E29B542" w14:textId="77777777" w:rsidR="007A584F" w:rsidRDefault="007A584F">
      <w:pPr>
        <w:pStyle w:val="BodyText"/>
        <w:spacing w:before="74"/>
      </w:pPr>
    </w:p>
    <w:p w14:paraId="411B6ABC" w14:textId="77777777" w:rsidR="007A584F" w:rsidRDefault="00CE07B1">
      <w:pPr>
        <w:ind w:left="359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Sponsored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Administration:</w:t>
      </w:r>
    </w:p>
    <w:p w14:paraId="53DA8C42" w14:textId="77777777" w:rsidR="007A584F" w:rsidRDefault="00CE07B1">
      <w:pPr>
        <w:pStyle w:val="ListParagraph"/>
        <w:numPr>
          <w:ilvl w:val="0"/>
          <w:numId w:val="1"/>
        </w:numPr>
        <w:tabs>
          <w:tab w:val="left" w:pos="1079"/>
        </w:tabs>
        <w:spacing w:before="35"/>
        <w:rPr>
          <w:sz w:val="20"/>
        </w:rPr>
      </w:pPr>
      <w:r>
        <w:rPr>
          <w:sz w:val="20"/>
        </w:rPr>
        <w:t>Reviews</w:t>
      </w:r>
      <w:r>
        <w:rPr>
          <w:spacing w:val="-7"/>
          <w:sz w:val="20"/>
        </w:rPr>
        <w:t xml:space="preserve"> </w:t>
      </w:r>
      <w:r>
        <w:rPr>
          <w:sz w:val="20"/>
        </w:rPr>
        <w:t>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monitors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quarterly.</w:t>
      </w:r>
    </w:p>
    <w:p w14:paraId="02439147" w14:textId="77777777" w:rsidR="007A584F" w:rsidRPr="00CE07B1" w:rsidRDefault="00CE07B1">
      <w:pPr>
        <w:pStyle w:val="Heading2"/>
        <w:spacing w:before="239"/>
      </w:pPr>
      <w:bookmarkStart w:id="8" w:name="Need_Help?"/>
      <w:bookmarkEnd w:id="8"/>
      <w:r w:rsidRPr="00CE07B1">
        <w:t xml:space="preserve">Need </w:t>
      </w:r>
      <w:r w:rsidRPr="00CE07B1">
        <w:rPr>
          <w:spacing w:val="-2"/>
        </w:rPr>
        <w:t>Help?</w:t>
      </w:r>
    </w:p>
    <w:p w14:paraId="75290756" w14:textId="0CBB89A1" w:rsidR="007A584F" w:rsidRDefault="00CE07B1">
      <w:pPr>
        <w:pStyle w:val="BodyText"/>
        <w:spacing w:before="42" w:line="278" w:lineRule="auto"/>
        <w:ind w:left="360" w:hanging="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or comments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procedure 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 xml:space="preserve"> </w:t>
      </w:r>
      <w:r>
        <w:t xml:space="preserve">at </w:t>
      </w:r>
      <w:hyperlink r:id="rId7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</w:rPr>
        <w:t xml:space="preserve"> </w:t>
      </w:r>
      <w:r>
        <w:t>or (573)-882-7560.</w:t>
      </w:r>
    </w:p>
    <w:p w14:paraId="420B7770" w14:textId="77777777" w:rsidR="007A584F" w:rsidRDefault="007A584F">
      <w:pPr>
        <w:pStyle w:val="BodyText"/>
        <w:spacing w:before="183"/>
        <w:rPr>
          <w:sz w:val="24"/>
        </w:rPr>
      </w:pPr>
    </w:p>
    <w:p w14:paraId="4CF1E492" w14:textId="77777777" w:rsidR="007A584F" w:rsidRPr="00CE07B1" w:rsidRDefault="00CE07B1">
      <w:pPr>
        <w:pStyle w:val="Heading2"/>
      </w:pPr>
      <w:bookmarkStart w:id="9" w:name="Related_Topics"/>
      <w:bookmarkEnd w:id="9"/>
      <w:r w:rsidRPr="00CE07B1">
        <w:t xml:space="preserve">Related </w:t>
      </w:r>
      <w:r w:rsidRPr="00CE07B1">
        <w:rPr>
          <w:spacing w:val="-2"/>
        </w:rPr>
        <w:t>Topics</w:t>
      </w:r>
    </w:p>
    <w:p w14:paraId="76DA898E" w14:textId="77777777" w:rsidR="007A584F" w:rsidRDefault="00CE07B1">
      <w:pPr>
        <w:pStyle w:val="BodyText"/>
        <w:spacing w:before="44"/>
        <w:ind w:left="360"/>
      </w:pPr>
      <w:bookmarkStart w:id="10" w:name="Record_Retention_(in_development)"/>
      <w:bookmarkEnd w:id="10"/>
      <w:r>
        <w:t>Record</w:t>
      </w:r>
      <w:r>
        <w:rPr>
          <w:spacing w:val="-6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rPr>
          <w:spacing w:val="-2"/>
        </w:rPr>
        <w:t>development)</w:t>
      </w:r>
    </w:p>
    <w:p w14:paraId="38DC0898" w14:textId="77777777" w:rsidR="007A584F" w:rsidRPr="00CE07B1" w:rsidRDefault="00CE07B1">
      <w:pPr>
        <w:pStyle w:val="Heading2"/>
        <w:spacing w:before="240"/>
      </w:pPr>
      <w:bookmarkStart w:id="11" w:name="Creation_Date"/>
      <w:bookmarkEnd w:id="11"/>
      <w:r w:rsidRPr="00CE07B1">
        <w:t xml:space="preserve">Creation </w:t>
      </w:r>
      <w:r w:rsidRPr="00CE07B1">
        <w:rPr>
          <w:spacing w:val="-4"/>
        </w:rPr>
        <w:t>Date</w:t>
      </w:r>
    </w:p>
    <w:p w14:paraId="6C427A5F" w14:textId="77777777" w:rsidR="007A584F" w:rsidRDefault="00CE07B1">
      <w:pPr>
        <w:pStyle w:val="BodyText"/>
        <w:spacing w:before="41"/>
        <w:ind w:left="360"/>
      </w:pPr>
      <w:bookmarkStart w:id="12" w:name="05/29/2013"/>
      <w:bookmarkEnd w:id="12"/>
      <w:r>
        <w:rPr>
          <w:spacing w:val="-2"/>
        </w:rPr>
        <w:t>05/29/2013</w:t>
      </w:r>
    </w:p>
    <w:p w14:paraId="4D5D6F78" w14:textId="77777777" w:rsidR="007A584F" w:rsidRPr="00CE07B1" w:rsidRDefault="00CE07B1">
      <w:pPr>
        <w:pStyle w:val="Heading2"/>
        <w:spacing w:before="238"/>
      </w:pPr>
      <w:bookmarkStart w:id="13" w:name="Latest_Revision_Date"/>
      <w:bookmarkEnd w:id="13"/>
      <w:r w:rsidRPr="00CE07B1">
        <w:t xml:space="preserve">Latest Revision </w:t>
      </w:r>
      <w:r w:rsidRPr="00CE07B1">
        <w:rPr>
          <w:spacing w:val="-4"/>
        </w:rPr>
        <w:t>Date</w:t>
      </w:r>
    </w:p>
    <w:p w14:paraId="148A2A3C" w14:textId="77777777" w:rsidR="007A584F" w:rsidRDefault="00CE07B1">
      <w:pPr>
        <w:pStyle w:val="BodyText"/>
        <w:spacing w:before="44"/>
        <w:ind w:left="360"/>
      </w:pPr>
      <w:r>
        <w:rPr>
          <w:spacing w:val="-2"/>
        </w:rPr>
        <w:t>05/29/2013</w:t>
      </w:r>
    </w:p>
    <w:p w14:paraId="1382F8E5" w14:textId="77777777" w:rsidR="007A584F" w:rsidRDefault="007A584F">
      <w:pPr>
        <w:pStyle w:val="BodyText"/>
        <w:rPr>
          <w:sz w:val="18"/>
        </w:rPr>
      </w:pPr>
    </w:p>
    <w:p w14:paraId="22932C67" w14:textId="77777777" w:rsidR="007A584F" w:rsidRDefault="007A584F">
      <w:pPr>
        <w:pStyle w:val="BodyText"/>
        <w:rPr>
          <w:sz w:val="18"/>
        </w:rPr>
      </w:pPr>
    </w:p>
    <w:p w14:paraId="031B42A3" w14:textId="77777777" w:rsidR="007A584F" w:rsidRDefault="007A584F">
      <w:pPr>
        <w:pStyle w:val="BodyText"/>
        <w:rPr>
          <w:sz w:val="18"/>
        </w:rPr>
      </w:pPr>
    </w:p>
    <w:p w14:paraId="47D82B2D" w14:textId="77777777" w:rsidR="007A584F" w:rsidRDefault="007A584F">
      <w:pPr>
        <w:pStyle w:val="BodyText"/>
        <w:rPr>
          <w:sz w:val="18"/>
        </w:rPr>
      </w:pPr>
    </w:p>
    <w:p w14:paraId="4AFD2D86" w14:textId="77777777" w:rsidR="007A584F" w:rsidRDefault="007A584F">
      <w:pPr>
        <w:pStyle w:val="BodyText"/>
        <w:rPr>
          <w:sz w:val="18"/>
        </w:rPr>
      </w:pPr>
    </w:p>
    <w:p w14:paraId="6DC845CB" w14:textId="77777777" w:rsidR="007A584F" w:rsidRDefault="007A584F">
      <w:pPr>
        <w:pStyle w:val="BodyText"/>
        <w:rPr>
          <w:sz w:val="18"/>
        </w:rPr>
      </w:pPr>
    </w:p>
    <w:p w14:paraId="372A6DF7" w14:textId="31856C2F" w:rsidR="007A584F" w:rsidRDefault="00CE07B1">
      <w:pPr>
        <w:pStyle w:val="BodyTex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49867079" wp14:editId="50F17CB4">
            <wp:simplePos x="0" y="0"/>
            <wp:positionH relativeFrom="page">
              <wp:posOffset>4923790</wp:posOffset>
            </wp:positionH>
            <wp:positionV relativeFrom="paragraph">
              <wp:posOffset>130810</wp:posOffset>
            </wp:positionV>
            <wp:extent cx="2031365" cy="549275"/>
            <wp:effectExtent l="0" t="0" r="6985" b="3175"/>
            <wp:wrapNone/>
            <wp:docPr id="2" name="Image 2" descr="SP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A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D3467" w14:textId="5CB89DAA" w:rsidR="007A584F" w:rsidRDefault="00CE07B1">
      <w:pPr>
        <w:ind w:left="360"/>
        <w:rPr>
          <w:sz w:val="18"/>
        </w:rPr>
      </w:pPr>
      <w:r>
        <w:rPr>
          <w:sz w:val="18"/>
        </w:rPr>
        <w:t>Sponsored</w:t>
      </w:r>
      <w:r>
        <w:rPr>
          <w:spacing w:val="-4"/>
          <w:sz w:val="18"/>
        </w:rPr>
        <w:t xml:space="preserve"> </w:t>
      </w:r>
      <w:r>
        <w:rPr>
          <w:sz w:val="18"/>
        </w:rPr>
        <w:t>Programs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Administration</w:t>
      </w:r>
    </w:p>
    <w:p w14:paraId="62AE96B7" w14:textId="45127CF1" w:rsidR="00CE07B1" w:rsidRDefault="00CE07B1" w:rsidP="00CE07B1">
      <w:pPr>
        <w:ind w:left="360" w:right="5263"/>
        <w:rPr>
          <w:spacing w:val="-7"/>
          <w:sz w:val="18"/>
        </w:rPr>
      </w:pPr>
      <w:r>
        <w:rPr>
          <w:sz w:val="18"/>
        </w:rPr>
        <w:t>601 Turner Ave Garage – Room 201</w:t>
      </w:r>
    </w:p>
    <w:p w14:paraId="264D54DB" w14:textId="34DB789B" w:rsidR="00CE07B1" w:rsidRPr="00CE07B1" w:rsidRDefault="00CE07B1" w:rsidP="00CE07B1">
      <w:pPr>
        <w:ind w:left="360" w:right="5263"/>
        <w:rPr>
          <w:spacing w:val="-7"/>
          <w:sz w:val="18"/>
        </w:rPr>
      </w:pPr>
      <w:r>
        <w:rPr>
          <w:sz w:val="18"/>
        </w:rPr>
        <w:t>Columbia,</w:t>
      </w:r>
      <w:r>
        <w:rPr>
          <w:spacing w:val="-5"/>
          <w:sz w:val="18"/>
        </w:rPr>
        <w:t xml:space="preserve"> </w:t>
      </w:r>
      <w:r>
        <w:rPr>
          <w:sz w:val="18"/>
        </w:rPr>
        <w:t>MO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65211-0001 </w:t>
      </w:r>
    </w:p>
    <w:p w14:paraId="569045D5" w14:textId="4A3D21FA" w:rsidR="007A584F" w:rsidRDefault="00CE07B1">
      <w:pPr>
        <w:ind w:left="360" w:right="5263"/>
        <w:rPr>
          <w:sz w:val="18"/>
        </w:rPr>
      </w:pPr>
      <w:r>
        <w:rPr>
          <w:sz w:val="18"/>
        </w:rPr>
        <w:t xml:space="preserve">573-882-7560 | </w:t>
      </w:r>
      <w:hyperlink r:id="rId9">
        <w:r>
          <w:rPr>
            <w:sz w:val="18"/>
          </w:rPr>
          <w:t>grantsdc@missouri.edu</w:t>
        </w:r>
      </w:hyperlink>
    </w:p>
    <w:sectPr w:rsidR="007A584F"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2924"/>
    <w:multiLevelType w:val="hybridMultilevel"/>
    <w:tmpl w:val="1BB666B0"/>
    <w:lvl w:ilvl="0" w:tplc="D28E3838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CC4B8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3243CA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CCE18B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D02048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B7821E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FB8359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6E097E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9F02D7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97525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84F"/>
    <w:rsid w:val="00780096"/>
    <w:rsid w:val="00785B97"/>
    <w:rsid w:val="007A584F"/>
    <w:rsid w:val="00CE07B1"/>
    <w:rsid w:val="00E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9B87"/>
  <w15:docId w15:val="{BA7B949E-82E1-4144-AB4C-24B3919F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2"/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8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uresearchospa@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ppm.missouri.edu/chapter2/2_19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msystem.edu/ums/rules/bpm/bpm200/manual_2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ntsdc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3804</Characters>
  <Application>Microsoft Office Word</Application>
  <DocSecurity>0</DocSecurity>
  <Lines>31</Lines>
  <Paragraphs>8</Paragraphs>
  <ScaleCrop>false</ScaleCrop>
  <Company>University of Missouri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Sowers, Jessica</cp:lastModifiedBy>
  <cp:revision>3</cp:revision>
  <dcterms:created xsi:type="dcterms:W3CDTF">2026-04-23T17:13:00Z</dcterms:created>
  <dcterms:modified xsi:type="dcterms:W3CDTF">2026-04-24T16:25:00Z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D:20140506150539</vt:lpwstr>
  </property>
</Properties>
</file>