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1E06C" w14:textId="77777777" w:rsidR="007974B5" w:rsidRDefault="00C7023E">
      <w:pPr>
        <w:pStyle w:val="Heading1"/>
      </w:pPr>
      <w:r>
        <w:rPr>
          <w:color w:val="424242"/>
        </w:rPr>
        <w:t>Clinical</w:t>
      </w:r>
      <w:r>
        <w:rPr>
          <w:color w:val="424242"/>
          <w:spacing w:val="19"/>
        </w:rPr>
        <w:t xml:space="preserve"> </w:t>
      </w:r>
      <w:r>
        <w:rPr>
          <w:color w:val="424242"/>
        </w:rPr>
        <w:t>Trials:</w:t>
      </w:r>
      <w:r>
        <w:rPr>
          <w:color w:val="424242"/>
          <w:spacing w:val="9"/>
        </w:rPr>
        <w:t xml:space="preserve"> </w:t>
      </w:r>
      <w:r>
        <w:rPr>
          <w:color w:val="424242"/>
          <w:position w:val="2"/>
        </w:rPr>
        <w:t>Indirect</w:t>
      </w:r>
      <w:r>
        <w:rPr>
          <w:color w:val="424242"/>
          <w:spacing w:val="8"/>
          <w:position w:val="2"/>
        </w:rPr>
        <w:t xml:space="preserve"> </w:t>
      </w:r>
      <w:r>
        <w:rPr>
          <w:color w:val="424242"/>
        </w:rPr>
        <w:t>Cost</w:t>
      </w:r>
      <w:r>
        <w:rPr>
          <w:color w:val="424242"/>
          <w:spacing w:val="18"/>
        </w:rPr>
        <w:t xml:space="preserve"> </w:t>
      </w:r>
      <w:r>
        <w:rPr>
          <w:color w:val="424242"/>
          <w:spacing w:val="-2"/>
        </w:rPr>
        <w:t>Recovery</w:t>
      </w:r>
    </w:p>
    <w:p w14:paraId="7A5B68C5" w14:textId="77777777" w:rsidR="007974B5" w:rsidRDefault="00C7023E">
      <w:pPr>
        <w:pStyle w:val="BodyText"/>
        <w:spacing w:before="11"/>
        <w:rPr>
          <w:sz w:val="4"/>
        </w:rPr>
      </w:pPr>
      <w:r>
        <w:rPr>
          <w:noProof/>
          <w:sz w:val="4"/>
        </w:rPr>
        <mc:AlternateContent>
          <mc:Choice Requires="wps">
            <w:drawing>
              <wp:anchor distT="0" distB="0" distL="0" distR="0" simplePos="0" relativeHeight="487587840" behindDoc="1" locked="0" layoutInCell="1" allowOverlap="1" wp14:anchorId="6B4501BE" wp14:editId="5160C223">
                <wp:simplePos x="0" y="0"/>
                <wp:positionH relativeFrom="page">
                  <wp:posOffset>896619</wp:posOffset>
                </wp:positionH>
                <wp:positionV relativeFrom="paragraph">
                  <wp:posOffset>53784</wp:posOffset>
                </wp:positionV>
                <wp:extent cx="59817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270"/>
                        </a:xfrm>
                        <a:custGeom>
                          <a:avLst/>
                          <a:gdLst/>
                          <a:ahLst/>
                          <a:cxnLst/>
                          <a:rect l="l" t="t" r="r" b="b"/>
                          <a:pathLst>
                            <a:path w="5981700">
                              <a:moveTo>
                                <a:pt x="0" y="0"/>
                              </a:moveTo>
                              <a:lnTo>
                                <a:pt x="5981700" y="0"/>
                              </a:lnTo>
                            </a:path>
                          </a:pathLst>
                        </a:custGeom>
                        <a:ln w="13716">
                          <a:solidFill>
                            <a:srgbClr val="EDB82C"/>
                          </a:solidFill>
                          <a:prstDash val="solid"/>
                        </a:ln>
                      </wps:spPr>
                      <wps:bodyPr wrap="square" lIns="0" tIns="0" rIns="0" bIns="0" rtlCol="0">
                        <a:prstTxWarp prst="textNoShape">
                          <a:avLst/>
                        </a:prstTxWarp>
                        <a:noAutofit/>
                      </wps:bodyPr>
                    </wps:wsp>
                  </a:graphicData>
                </a:graphic>
              </wp:anchor>
            </w:drawing>
          </mc:Choice>
          <mc:Fallback>
            <w:pict>
              <v:shape w14:anchorId="538C83FC" id="Graphic 1" o:spid="_x0000_s1026" style="position:absolute;margin-left:70.6pt;margin-top:4.25pt;width:47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" path="m,l5981700,e" filled="f" strokecolor="#edb82c" strokeweight="1.08pt">
                <v:path arrowok="t"/>
                <w10:wrap type="topAndBottom" anchorx="page"/>
              </v:shape>
            </w:pict>
          </mc:Fallback>
        </mc:AlternateContent>
      </w:r>
    </w:p>
    <w:p w14:paraId="1FCF5018" w14:textId="77777777" w:rsidR="007974B5" w:rsidRPr="00C7023E" w:rsidRDefault="00C7023E">
      <w:pPr>
        <w:pStyle w:val="Heading2"/>
        <w:spacing w:before="254"/>
      </w:pPr>
      <w:bookmarkStart w:id="0" w:name="Policies"/>
      <w:bookmarkEnd w:id="0"/>
      <w:r w:rsidRPr="00C7023E">
        <w:rPr>
          <w:spacing w:val="-2"/>
        </w:rPr>
        <w:t>Policies</w:t>
      </w:r>
    </w:p>
    <w:p w14:paraId="6F406C60" w14:textId="77777777" w:rsidR="007974B5" w:rsidRDefault="00C7023E">
      <w:pPr>
        <w:pStyle w:val="BodyText"/>
        <w:spacing w:before="37" w:line="319" w:lineRule="auto"/>
        <w:ind w:left="360" w:right="5507"/>
      </w:pPr>
      <w:hyperlink r:id="rId4">
        <w:r>
          <w:rPr>
            <w:color w:val="0000FF"/>
            <w:u w:val="single" w:color="0000FF"/>
          </w:rPr>
          <w:t>Policy 27025 – Facilities and Administrative Costs</w:t>
        </w:r>
      </w:hyperlink>
      <w:r>
        <w:rPr>
          <w:color w:val="0000FF"/>
        </w:rPr>
        <w:t xml:space="preserve"> </w:t>
      </w:r>
      <w:r>
        <w:rPr>
          <w:spacing w:val="-2"/>
        </w:rPr>
        <w:t>NIH</w:t>
      </w:r>
      <w:r>
        <w:rPr>
          <w:spacing w:val="-7"/>
        </w:rPr>
        <w:t xml:space="preserve"> </w:t>
      </w:r>
      <w:r>
        <w:rPr>
          <w:spacing w:val="-2"/>
        </w:rPr>
        <w:t>Office</w:t>
      </w:r>
      <w:r>
        <w:rPr>
          <w:spacing w:val="-4"/>
        </w:rPr>
        <w:t xml:space="preserve"> </w:t>
      </w:r>
      <w:r>
        <w:rPr>
          <w:spacing w:val="-2"/>
        </w:rPr>
        <w:t>of</w:t>
      </w:r>
      <w:r>
        <w:rPr>
          <w:spacing w:val="-5"/>
        </w:rPr>
        <w:t xml:space="preserve"> </w:t>
      </w:r>
      <w:r>
        <w:rPr>
          <w:spacing w:val="-2"/>
        </w:rPr>
        <w:t>Science</w:t>
      </w:r>
      <w:r>
        <w:rPr>
          <w:spacing w:val="-4"/>
        </w:rPr>
        <w:t xml:space="preserve"> </w:t>
      </w:r>
      <w:r>
        <w:rPr>
          <w:spacing w:val="-2"/>
        </w:rPr>
        <w:t>Policy:</w:t>
      </w:r>
      <w:r>
        <w:rPr>
          <w:spacing w:val="-5"/>
        </w:rPr>
        <w:t xml:space="preserve"> </w:t>
      </w:r>
      <w:hyperlink r:id="rId5">
        <w:r>
          <w:rPr>
            <w:color w:val="0000FF"/>
            <w:spacing w:val="-2"/>
            <w:u w:val="single" w:color="0000FF"/>
          </w:rPr>
          <w:t>Clinical</w:t>
        </w:r>
        <w:r>
          <w:rPr>
            <w:color w:val="0000FF"/>
            <w:spacing w:val="-4"/>
            <w:u w:val="single" w:color="0000FF"/>
          </w:rPr>
          <w:t xml:space="preserve"> </w:t>
        </w:r>
        <w:r>
          <w:rPr>
            <w:color w:val="0000FF"/>
            <w:spacing w:val="-2"/>
            <w:u w:val="single" w:color="0000FF"/>
          </w:rPr>
          <w:t>Trial</w:t>
        </w:r>
        <w:r>
          <w:rPr>
            <w:color w:val="0000FF"/>
            <w:spacing w:val="-7"/>
            <w:u w:val="single" w:color="0000FF"/>
          </w:rPr>
          <w:t xml:space="preserve"> </w:t>
        </w:r>
        <w:r>
          <w:rPr>
            <w:color w:val="0000FF"/>
            <w:spacing w:val="-2"/>
            <w:u w:val="single" w:color="0000FF"/>
          </w:rPr>
          <w:t>Definition</w:t>
        </w:r>
      </w:hyperlink>
    </w:p>
    <w:p w14:paraId="158A9FE8" w14:textId="77777777" w:rsidR="007974B5" w:rsidRPr="00C7023E" w:rsidRDefault="00C7023E">
      <w:pPr>
        <w:pStyle w:val="Heading2"/>
        <w:spacing w:before="3" w:line="292" w:lineRule="exact"/>
      </w:pPr>
      <w:bookmarkStart w:id="1" w:name="Forms"/>
      <w:bookmarkEnd w:id="1"/>
      <w:r w:rsidRPr="00C7023E">
        <w:rPr>
          <w:spacing w:val="-2"/>
        </w:rPr>
        <w:t>Forms</w:t>
      </w:r>
    </w:p>
    <w:p w14:paraId="022532AB" w14:textId="77777777" w:rsidR="007974B5" w:rsidRDefault="00C7023E">
      <w:pPr>
        <w:pStyle w:val="BodyText"/>
        <w:spacing w:line="243" w:lineRule="exact"/>
        <w:ind w:left="350"/>
      </w:pPr>
      <w:hyperlink r:id="rId6">
        <w:r>
          <w:rPr>
            <w:color w:val="0000FF"/>
            <w:spacing w:val="-2"/>
            <w:u w:val="single" w:color="0000FF"/>
          </w:rPr>
          <w:t>Grant</w:t>
        </w:r>
        <w:r>
          <w:rPr>
            <w:color w:val="0000FF"/>
            <w:spacing w:val="-7"/>
            <w:u w:val="single" w:color="0000FF"/>
          </w:rPr>
          <w:t xml:space="preserve"> </w:t>
        </w:r>
        <w:r>
          <w:rPr>
            <w:color w:val="0000FF"/>
            <w:spacing w:val="-2"/>
            <w:u w:val="single" w:color="0000FF"/>
          </w:rPr>
          <w:t>Fact</w:t>
        </w:r>
        <w:r>
          <w:rPr>
            <w:color w:val="0000FF"/>
            <w:spacing w:val="-3"/>
            <w:u w:val="single" w:color="0000FF"/>
          </w:rPr>
          <w:t xml:space="preserve"> </w:t>
        </w:r>
        <w:r>
          <w:rPr>
            <w:color w:val="0000FF"/>
            <w:spacing w:val="-2"/>
            <w:u w:val="single" w:color="0000FF"/>
          </w:rPr>
          <w:t>Sheet</w:t>
        </w:r>
      </w:hyperlink>
    </w:p>
    <w:p w14:paraId="6815841D" w14:textId="77777777" w:rsidR="007974B5" w:rsidRDefault="007974B5">
      <w:pPr>
        <w:pStyle w:val="BodyText"/>
        <w:spacing w:before="7"/>
      </w:pPr>
    </w:p>
    <w:p w14:paraId="1C7A3D02" w14:textId="77777777" w:rsidR="007974B5" w:rsidRPr="00C7023E" w:rsidRDefault="00C7023E">
      <w:pPr>
        <w:pStyle w:val="Heading2"/>
      </w:pPr>
      <w:bookmarkStart w:id="2" w:name="Overview"/>
      <w:bookmarkEnd w:id="2"/>
      <w:r w:rsidRPr="00C7023E">
        <w:rPr>
          <w:spacing w:val="-2"/>
        </w:rPr>
        <w:t>Overview</w:t>
      </w:r>
    </w:p>
    <w:p w14:paraId="1883327F" w14:textId="77777777" w:rsidR="007974B5" w:rsidRDefault="00C7023E">
      <w:pPr>
        <w:pStyle w:val="BodyText"/>
        <w:spacing w:before="5" w:line="278" w:lineRule="auto"/>
        <w:ind w:left="350" w:right="568"/>
      </w:pPr>
      <w:r>
        <w:t>As an exception the University of Missouri’s federally-negotiated indirect cost rate applicable to research, a “clinical trial,” as defined below, is subject to a rate of 26 percent. This reduced rate is consistent</w:t>
      </w:r>
      <w:r>
        <w:rPr>
          <w:spacing w:val="-14"/>
        </w:rPr>
        <w:t xml:space="preserve"> </w:t>
      </w:r>
      <w:r>
        <w:t>with</w:t>
      </w:r>
      <w:r>
        <w:rPr>
          <w:spacing w:val="-11"/>
        </w:rPr>
        <w:t xml:space="preserve"> </w:t>
      </w:r>
      <w:r>
        <w:t>clinical</w:t>
      </w:r>
      <w:r>
        <w:rPr>
          <w:spacing w:val="-14"/>
        </w:rPr>
        <w:t xml:space="preserve"> </w:t>
      </w:r>
      <w:r>
        <w:t>trial</w:t>
      </w:r>
      <w:r>
        <w:rPr>
          <w:spacing w:val="-12"/>
        </w:rPr>
        <w:t xml:space="preserve"> </w:t>
      </w:r>
      <w:r>
        <w:t>indirect</w:t>
      </w:r>
      <w:r>
        <w:rPr>
          <w:spacing w:val="-5"/>
        </w:rPr>
        <w:t xml:space="preserve"> </w:t>
      </w:r>
      <w:r>
        <w:t>cost</w:t>
      </w:r>
      <w:r>
        <w:rPr>
          <w:spacing w:val="-15"/>
        </w:rPr>
        <w:t xml:space="preserve"> </w:t>
      </w:r>
      <w:r>
        <w:t>rates</w:t>
      </w:r>
      <w:r>
        <w:rPr>
          <w:spacing w:val="-11"/>
        </w:rPr>
        <w:t xml:space="preserve"> </w:t>
      </w:r>
      <w:r>
        <w:t>employed</w:t>
      </w:r>
      <w:r>
        <w:rPr>
          <w:spacing w:val="-8"/>
        </w:rPr>
        <w:t xml:space="preserve"> </w:t>
      </w:r>
      <w:r>
        <w:t>by</w:t>
      </w:r>
      <w:r>
        <w:rPr>
          <w:spacing w:val="-14"/>
        </w:rPr>
        <w:t xml:space="preserve"> </w:t>
      </w:r>
      <w:r>
        <w:t>other</w:t>
      </w:r>
      <w:r>
        <w:rPr>
          <w:spacing w:val="-11"/>
        </w:rPr>
        <w:t xml:space="preserve"> </w:t>
      </w:r>
      <w:r>
        <w:t>research</w:t>
      </w:r>
      <w:r>
        <w:rPr>
          <w:spacing w:val="-6"/>
        </w:rPr>
        <w:t xml:space="preserve"> </w:t>
      </w:r>
      <w:r>
        <w:t>universities.</w:t>
      </w:r>
      <w:r>
        <w:rPr>
          <w:spacing w:val="-14"/>
        </w:rPr>
        <w:t xml:space="preserve"> </w:t>
      </w:r>
      <w:r>
        <w:t>The</w:t>
      </w:r>
      <w:r>
        <w:rPr>
          <w:spacing w:val="-13"/>
        </w:rPr>
        <w:t xml:space="preserve"> </w:t>
      </w:r>
      <w:r>
        <w:t>rate</w:t>
      </w:r>
      <w:r>
        <w:rPr>
          <w:spacing w:val="-13"/>
        </w:rPr>
        <w:t xml:space="preserve"> </w:t>
      </w:r>
      <w:r>
        <w:t>applies to</w:t>
      </w:r>
      <w:r>
        <w:rPr>
          <w:spacing w:val="-6"/>
        </w:rPr>
        <w:t xml:space="preserve"> </w:t>
      </w:r>
      <w:r>
        <w:t xml:space="preserve">total direct cost (TDC); no budgeted item is excluded from the base to which the indirect rate is </w:t>
      </w:r>
      <w:r>
        <w:rPr>
          <w:spacing w:val="-2"/>
        </w:rPr>
        <w:t>applied.</w:t>
      </w:r>
    </w:p>
    <w:p w14:paraId="7C34F186" w14:textId="77777777" w:rsidR="007974B5" w:rsidRDefault="007974B5">
      <w:pPr>
        <w:pStyle w:val="BodyText"/>
        <w:spacing w:before="25"/>
      </w:pPr>
    </w:p>
    <w:p w14:paraId="16229526" w14:textId="77777777" w:rsidR="007974B5" w:rsidRDefault="00C7023E">
      <w:pPr>
        <w:pStyle w:val="BodyText"/>
        <w:spacing w:line="276" w:lineRule="auto"/>
        <w:ind w:left="350" w:hanging="1"/>
      </w:pPr>
      <w:r>
        <w:t>When</w:t>
      </w:r>
      <w:r>
        <w:rPr>
          <w:spacing w:val="-1"/>
        </w:rPr>
        <w:t xml:space="preserve"> </w:t>
      </w:r>
      <w:r>
        <w:t>a</w:t>
      </w:r>
      <w:r>
        <w:rPr>
          <w:spacing w:val="-1"/>
        </w:rPr>
        <w:t xml:space="preserve"> </w:t>
      </w:r>
      <w:r>
        <w:t>commercial or</w:t>
      </w:r>
      <w:r>
        <w:rPr>
          <w:spacing w:val="-4"/>
        </w:rPr>
        <w:t xml:space="preserve"> </w:t>
      </w:r>
      <w:r>
        <w:t>industry</w:t>
      </w:r>
      <w:r>
        <w:rPr>
          <w:spacing w:val="-3"/>
        </w:rPr>
        <w:t xml:space="preserve"> </w:t>
      </w:r>
      <w:r>
        <w:t>firm</w:t>
      </w:r>
      <w:r>
        <w:rPr>
          <w:spacing w:val="-1"/>
        </w:rPr>
        <w:t xml:space="preserve"> </w:t>
      </w:r>
      <w:r>
        <w:t>requires</w:t>
      </w:r>
      <w:r>
        <w:rPr>
          <w:spacing w:val="-2"/>
        </w:rPr>
        <w:t xml:space="preserve"> </w:t>
      </w:r>
      <w:r>
        <w:t>rights</w:t>
      </w:r>
      <w:r>
        <w:rPr>
          <w:spacing w:val="-6"/>
        </w:rPr>
        <w:t xml:space="preserve"> </w:t>
      </w:r>
      <w:r>
        <w:t>in</w:t>
      </w:r>
      <w:r>
        <w:rPr>
          <w:spacing w:val="-1"/>
        </w:rPr>
        <w:t xml:space="preserve"> </w:t>
      </w:r>
      <w:r>
        <w:t>data</w:t>
      </w:r>
      <w:r>
        <w:rPr>
          <w:spacing w:val="-3"/>
        </w:rPr>
        <w:t xml:space="preserve"> </w:t>
      </w:r>
      <w:r>
        <w:t>to</w:t>
      </w:r>
      <w:r>
        <w:rPr>
          <w:spacing w:val="-6"/>
        </w:rPr>
        <w:t xml:space="preserve"> </w:t>
      </w:r>
      <w:r>
        <w:t>the</w:t>
      </w:r>
      <w:r>
        <w:rPr>
          <w:spacing w:val="-4"/>
        </w:rPr>
        <w:t xml:space="preserve"> </w:t>
      </w:r>
      <w:r>
        <w:t>exclusion of the</w:t>
      </w:r>
      <w:r>
        <w:rPr>
          <w:spacing w:val="-4"/>
        </w:rPr>
        <w:t xml:space="preserve"> </w:t>
      </w:r>
      <w:r>
        <w:t>University and/or</w:t>
      </w:r>
      <w:r>
        <w:rPr>
          <w:spacing w:val="-4"/>
        </w:rPr>
        <w:t xml:space="preserve"> </w:t>
      </w:r>
      <w:r>
        <w:t>claims ownership</w:t>
      </w:r>
      <w:r>
        <w:rPr>
          <w:spacing w:val="-3"/>
        </w:rPr>
        <w:t xml:space="preserve"> </w:t>
      </w:r>
      <w:r>
        <w:t>rights</w:t>
      </w:r>
      <w:r>
        <w:rPr>
          <w:spacing w:val="-4"/>
        </w:rPr>
        <w:t xml:space="preserve"> </w:t>
      </w:r>
      <w:r>
        <w:t>to</w:t>
      </w:r>
      <w:r>
        <w:rPr>
          <w:spacing w:val="-5"/>
        </w:rPr>
        <w:t xml:space="preserve"> </w:t>
      </w:r>
      <w:r>
        <w:t>intellectual</w:t>
      </w:r>
      <w:r>
        <w:rPr>
          <w:spacing w:val="-3"/>
        </w:rPr>
        <w:t xml:space="preserve"> </w:t>
      </w:r>
      <w:r>
        <w:t>property</w:t>
      </w:r>
      <w:r>
        <w:rPr>
          <w:spacing w:val="-5"/>
        </w:rPr>
        <w:t xml:space="preserve"> </w:t>
      </w:r>
      <w:r>
        <w:t>developed</w:t>
      </w:r>
      <w:r>
        <w:rPr>
          <w:spacing w:val="-3"/>
        </w:rPr>
        <w:t xml:space="preserve"> </w:t>
      </w:r>
      <w:r>
        <w:t>by</w:t>
      </w:r>
      <w:r>
        <w:rPr>
          <w:spacing w:val="-2"/>
        </w:rPr>
        <w:t xml:space="preserve"> </w:t>
      </w:r>
      <w:r>
        <w:t>the</w:t>
      </w:r>
      <w:r>
        <w:rPr>
          <w:spacing w:val="-4"/>
        </w:rPr>
        <w:t xml:space="preserve"> </w:t>
      </w:r>
      <w:r>
        <w:t>University</w:t>
      </w:r>
      <w:r>
        <w:rPr>
          <w:spacing w:val="-5"/>
        </w:rPr>
        <w:t xml:space="preserve"> </w:t>
      </w:r>
      <w:r>
        <w:t>under</w:t>
      </w:r>
      <w:r>
        <w:rPr>
          <w:spacing w:val="-1"/>
        </w:rPr>
        <w:t xml:space="preserve"> </w:t>
      </w:r>
      <w:r>
        <w:t>a</w:t>
      </w:r>
      <w:r>
        <w:rPr>
          <w:spacing w:val="-3"/>
        </w:rPr>
        <w:t xml:space="preserve"> </w:t>
      </w:r>
      <w:r>
        <w:t>clinical</w:t>
      </w:r>
      <w:r>
        <w:rPr>
          <w:spacing w:val="-3"/>
        </w:rPr>
        <w:t xml:space="preserve"> </w:t>
      </w:r>
      <w:r>
        <w:t>trial</w:t>
      </w:r>
      <w:r>
        <w:rPr>
          <w:spacing w:val="-3"/>
        </w:rPr>
        <w:t xml:space="preserve"> </w:t>
      </w:r>
      <w:r>
        <w:t>project,</w:t>
      </w:r>
      <w:r>
        <w:rPr>
          <w:spacing w:val="-7"/>
        </w:rPr>
        <w:t xml:space="preserve"> </w:t>
      </w:r>
      <w:r>
        <w:t>indirect costs must be charged at</w:t>
      </w:r>
      <w:r>
        <w:rPr>
          <w:spacing w:val="-2"/>
        </w:rPr>
        <w:t xml:space="preserve"> </w:t>
      </w:r>
      <w:r>
        <w:t>a rate not less than the clinical trials rate plus five (5) percent.</w:t>
      </w:r>
    </w:p>
    <w:p w14:paraId="47C082D5" w14:textId="77777777" w:rsidR="007974B5" w:rsidRDefault="007974B5">
      <w:pPr>
        <w:pStyle w:val="BodyText"/>
        <w:spacing w:before="41"/>
      </w:pPr>
    </w:p>
    <w:p w14:paraId="3F680FC7" w14:textId="77777777" w:rsidR="007974B5" w:rsidRDefault="00C7023E">
      <w:pPr>
        <w:pStyle w:val="BodyText"/>
        <w:spacing w:line="276" w:lineRule="auto"/>
        <w:ind w:left="350" w:right="568"/>
      </w:pPr>
      <w:r>
        <w:rPr>
          <w:b/>
        </w:rPr>
        <w:t xml:space="preserve">MU’s definition of a clinical trial for the purpose of application of 26% (or 31%) indirect rate: </w:t>
      </w:r>
      <w:r>
        <w:t>The controlled,</w:t>
      </w:r>
      <w:r>
        <w:rPr>
          <w:spacing w:val="-11"/>
        </w:rPr>
        <w:t xml:space="preserve"> </w:t>
      </w:r>
      <w:r>
        <w:t>clinical</w:t>
      </w:r>
      <w:r>
        <w:rPr>
          <w:spacing w:val="-14"/>
        </w:rPr>
        <w:t xml:space="preserve"> </w:t>
      </w:r>
      <w:r>
        <w:t>testing</w:t>
      </w:r>
      <w:r>
        <w:rPr>
          <w:spacing w:val="-13"/>
        </w:rPr>
        <w:t xml:space="preserve"> </w:t>
      </w:r>
      <w:r>
        <w:t>in</w:t>
      </w:r>
      <w:r>
        <w:rPr>
          <w:spacing w:val="-14"/>
        </w:rPr>
        <w:t xml:space="preserve"> </w:t>
      </w:r>
      <w:r>
        <w:t>human</w:t>
      </w:r>
      <w:r>
        <w:rPr>
          <w:spacing w:val="-13"/>
        </w:rPr>
        <w:t xml:space="preserve"> </w:t>
      </w:r>
      <w:r>
        <w:t>or</w:t>
      </w:r>
      <w:r>
        <w:rPr>
          <w:spacing w:val="-14"/>
        </w:rPr>
        <w:t xml:space="preserve"> </w:t>
      </w:r>
      <w:r>
        <w:t>vertebrate</w:t>
      </w:r>
      <w:r>
        <w:rPr>
          <w:spacing w:val="-11"/>
        </w:rPr>
        <w:t xml:space="preserve"> </w:t>
      </w:r>
      <w:r>
        <w:t>animal</w:t>
      </w:r>
      <w:r>
        <w:rPr>
          <w:spacing w:val="-13"/>
        </w:rPr>
        <w:t xml:space="preserve"> </w:t>
      </w:r>
      <w:r>
        <w:t>subjects</w:t>
      </w:r>
      <w:r>
        <w:rPr>
          <w:spacing w:val="-14"/>
        </w:rPr>
        <w:t xml:space="preserve"> </w:t>
      </w:r>
      <w:r>
        <w:t>of</w:t>
      </w:r>
      <w:r>
        <w:rPr>
          <w:spacing w:val="-14"/>
        </w:rPr>
        <w:t xml:space="preserve"> </w:t>
      </w:r>
      <w:r>
        <w:t>investigational</w:t>
      </w:r>
      <w:r>
        <w:rPr>
          <w:spacing w:val="-13"/>
        </w:rPr>
        <w:t xml:space="preserve"> </w:t>
      </w:r>
      <w:r>
        <w:t>new</w:t>
      </w:r>
      <w:r>
        <w:rPr>
          <w:spacing w:val="-12"/>
        </w:rPr>
        <w:t xml:space="preserve"> </w:t>
      </w:r>
      <w:r>
        <w:t>drugs,</w:t>
      </w:r>
      <w:r>
        <w:rPr>
          <w:spacing w:val="-15"/>
        </w:rPr>
        <w:t xml:space="preserve"> </w:t>
      </w:r>
      <w:r>
        <w:t>devices, treatments,</w:t>
      </w:r>
      <w:r>
        <w:rPr>
          <w:spacing w:val="-6"/>
        </w:rPr>
        <w:t xml:space="preserve"> </w:t>
      </w:r>
      <w:r>
        <w:t>or diagnostics, or comparisons of approved drugs, devices, treatments, or diagnostics, to assess their safety, efficacy, benefits,</w:t>
      </w:r>
      <w:r>
        <w:rPr>
          <w:spacing w:val="-1"/>
        </w:rPr>
        <w:t xml:space="preserve"> </w:t>
      </w:r>
      <w:r>
        <w:t>costs,</w:t>
      </w:r>
      <w:r>
        <w:rPr>
          <w:spacing w:val="-2"/>
        </w:rPr>
        <w:t xml:space="preserve"> </w:t>
      </w:r>
      <w:r>
        <w:t>adverse reactions,</w:t>
      </w:r>
      <w:r>
        <w:rPr>
          <w:spacing w:val="-2"/>
        </w:rPr>
        <w:t xml:space="preserve"> </w:t>
      </w:r>
      <w:r>
        <w:t>and/or outcomes. Such studies may be conducted under an industry-developed protocol or an investigator- developed protocol.</w:t>
      </w:r>
    </w:p>
    <w:p w14:paraId="16321C70" w14:textId="77777777" w:rsidR="007974B5" w:rsidRDefault="007974B5">
      <w:pPr>
        <w:pStyle w:val="BodyText"/>
        <w:spacing w:before="30"/>
      </w:pPr>
    </w:p>
    <w:p w14:paraId="1B79B1AF" w14:textId="77777777" w:rsidR="007974B5" w:rsidRDefault="00C7023E">
      <w:pPr>
        <w:pStyle w:val="BodyText"/>
        <w:spacing w:line="276" w:lineRule="auto"/>
        <w:ind w:left="350" w:right="249"/>
      </w:pPr>
      <w:r>
        <w:t>These</w:t>
      </w:r>
      <w:r>
        <w:rPr>
          <w:spacing w:val="-10"/>
        </w:rPr>
        <w:t xml:space="preserve"> </w:t>
      </w:r>
      <w:r>
        <w:t>studies</w:t>
      </w:r>
      <w:r>
        <w:rPr>
          <w:spacing w:val="-10"/>
        </w:rPr>
        <w:t xml:space="preserve"> </w:t>
      </w:r>
      <w:r>
        <w:t>are</w:t>
      </w:r>
      <w:r>
        <w:rPr>
          <w:spacing w:val="-8"/>
        </w:rPr>
        <w:t xml:space="preserve"> </w:t>
      </w:r>
      <w:r>
        <w:t>most</w:t>
      </w:r>
      <w:r>
        <w:rPr>
          <w:spacing w:val="-4"/>
        </w:rPr>
        <w:t xml:space="preserve"> </w:t>
      </w:r>
      <w:r>
        <w:t>often</w:t>
      </w:r>
      <w:r>
        <w:rPr>
          <w:spacing w:val="-9"/>
        </w:rPr>
        <w:t xml:space="preserve"> </w:t>
      </w:r>
      <w:r>
        <w:t>conducted</w:t>
      </w:r>
      <w:r>
        <w:rPr>
          <w:spacing w:val="-10"/>
        </w:rPr>
        <w:t xml:space="preserve"> </w:t>
      </w:r>
      <w:r>
        <w:t>in</w:t>
      </w:r>
      <w:r>
        <w:rPr>
          <w:spacing w:val="-9"/>
        </w:rPr>
        <w:t xml:space="preserve"> </w:t>
      </w:r>
      <w:r>
        <w:t>conjunction</w:t>
      </w:r>
      <w:r>
        <w:rPr>
          <w:spacing w:val="-9"/>
        </w:rPr>
        <w:t xml:space="preserve"> </w:t>
      </w:r>
      <w:r>
        <w:t>with</w:t>
      </w:r>
      <w:r>
        <w:rPr>
          <w:spacing w:val="-8"/>
        </w:rPr>
        <w:t xml:space="preserve"> </w:t>
      </w:r>
      <w:r>
        <w:t>obtaining</w:t>
      </w:r>
      <w:r>
        <w:rPr>
          <w:spacing w:val="-8"/>
        </w:rPr>
        <w:t xml:space="preserve"> </w:t>
      </w:r>
      <w:r>
        <w:t>new</w:t>
      </w:r>
      <w:r>
        <w:rPr>
          <w:spacing w:val="-10"/>
        </w:rPr>
        <w:t xml:space="preserve"> </w:t>
      </w:r>
      <w:r>
        <w:t>drug</w:t>
      </w:r>
      <w:r>
        <w:rPr>
          <w:spacing w:val="-6"/>
        </w:rPr>
        <w:t xml:space="preserve"> </w:t>
      </w:r>
      <w:r>
        <w:t>or</w:t>
      </w:r>
      <w:r>
        <w:rPr>
          <w:spacing w:val="-10"/>
        </w:rPr>
        <w:t xml:space="preserve"> </w:t>
      </w:r>
      <w:r>
        <w:t>device</w:t>
      </w:r>
      <w:r>
        <w:rPr>
          <w:spacing w:val="-4"/>
        </w:rPr>
        <w:t xml:space="preserve"> </w:t>
      </w:r>
      <w:r>
        <w:t>approval</w:t>
      </w:r>
      <w:r>
        <w:rPr>
          <w:spacing w:val="-5"/>
        </w:rPr>
        <w:t xml:space="preserve"> </w:t>
      </w:r>
      <w:r>
        <w:t>from the</w:t>
      </w:r>
      <w:r>
        <w:rPr>
          <w:spacing w:val="-4"/>
        </w:rPr>
        <w:t xml:space="preserve"> </w:t>
      </w:r>
      <w:r>
        <w:t>U.S.</w:t>
      </w:r>
      <w:r>
        <w:rPr>
          <w:spacing w:val="-2"/>
        </w:rPr>
        <w:t xml:space="preserve"> </w:t>
      </w:r>
      <w:r>
        <w:t>Food</w:t>
      </w:r>
      <w:r>
        <w:rPr>
          <w:spacing w:val="-1"/>
        </w:rPr>
        <w:t xml:space="preserve"> </w:t>
      </w:r>
      <w:r>
        <w:t>and</w:t>
      </w:r>
      <w:r>
        <w:rPr>
          <w:spacing w:val="-4"/>
        </w:rPr>
        <w:t xml:space="preserve"> </w:t>
      </w:r>
      <w:r>
        <w:t>Drug</w:t>
      </w:r>
      <w:r>
        <w:rPr>
          <w:spacing w:val="-1"/>
        </w:rPr>
        <w:t xml:space="preserve"> </w:t>
      </w:r>
      <w:r>
        <w:t>Administration,</w:t>
      </w:r>
      <w:r>
        <w:rPr>
          <w:spacing w:val="-7"/>
        </w:rPr>
        <w:t xml:space="preserve"> </w:t>
      </w:r>
      <w:r>
        <w:t>under Phase</w:t>
      </w:r>
      <w:r>
        <w:rPr>
          <w:spacing w:val="-4"/>
        </w:rPr>
        <w:t xml:space="preserve"> </w:t>
      </w:r>
      <w:r>
        <w:t>I,</w:t>
      </w:r>
      <w:r>
        <w:rPr>
          <w:spacing w:val="-6"/>
        </w:rPr>
        <w:t xml:space="preserve"> </w:t>
      </w:r>
      <w:r>
        <w:t>II,</w:t>
      </w:r>
      <w:r>
        <w:rPr>
          <w:spacing w:val="-9"/>
        </w:rPr>
        <w:t xml:space="preserve"> </w:t>
      </w:r>
      <w:r>
        <w:t>III,</w:t>
      </w:r>
      <w:r>
        <w:rPr>
          <w:spacing w:val="-7"/>
        </w:rPr>
        <w:t xml:space="preserve"> </w:t>
      </w:r>
      <w:r>
        <w:t>or</w:t>
      </w:r>
      <w:r>
        <w:rPr>
          <w:spacing w:val="-4"/>
        </w:rPr>
        <w:t xml:space="preserve"> </w:t>
      </w:r>
      <w:r>
        <w:t>IV,</w:t>
      </w:r>
      <w:r>
        <w:rPr>
          <w:spacing w:val="-6"/>
        </w:rPr>
        <w:t xml:space="preserve"> </w:t>
      </w:r>
      <w:r>
        <w:t>although</w:t>
      </w:r>
      <w:r>
        <w:rPr>
          <w:spacing w:val="-3"/>
        </w:rPr>
        <w:t xml:space="preserve"> </w:t>
      </w:r>
      <w:r>
        <w:t>they can</w:t>
      </w:r>
      <w:r>
        <w:rPr>
          <w:spacing w:val="-3"/>
        </w:rPr>
        <w:t xml:space="preserve"> </w:t>
      </w:r>
      <w:r>
        <w:t>be</w:t>
      </w:r>
      <w:r>
        <w:rPr>
          <w:spacing w:val="-4"/>
        </w:rPr>
        <w:t xml:space="preserve"> </w:t>
      </w:r>
      <w:r>
        <w:t>designed</w:t>
      </w:r>
      <w:r>
        <w:rPr>
          <w:spacing w:val="-4"/>
        </w:rPr>
        <w:t xml:space="preserve"> </w:t>
      </w:r>
      <w:r>
        <w:t>with</w:t>
      </w:r>
      <w:r>
        <w:rPr>
          <w:spacing w:val="-6"/>
        </w:rPr>
        <w:t xml:space="preserve"> </w:t>
      </w:r>
      <w:r>
        <w:t>the sole purpose of collecting and analyzing data about approved drugs or devices or behavioral interventions</w:t>
      </w:r>
      <w:r>
        <w:rPr>
          <w:spacing w:val="-14"/>
        </w:rPr>
        <w:t xml:space="preserve"> </w:t>
      </w:r>
      <w:r>
        <w:t>in</w:t>
      </w:r>
      <w:r>
        <w:rPr>
          <w:spacing w:val="-12"/>
        </w:rPr>
        <w:t xml:space="preserve"> </w:t>
      </w:r>
      <w:r>
        <w:t>order</w:t>
      </w:r>
      <w:r>
        <w:rPr>
          <w:spacing w:val="-13"/>
        </w:rPr>
        <w:t xml:space="preserve"> </w:t>
      </w:r>
      <w:r>
        <w:t>to</w:t>
      </w:r>
      <w:r>
        <w:rPr>
          <w:spacing w:val="-14"/>
        </w:rPr>
        <w:t xml:space="preserve"> </w:t>
      </w:r>
      <w:r>
        <w:t>contribute</w:t>
      </w:r>
      <w:r>
        <w:rPr>
          <w:spacing w:val="-13"/>
        </w:rPr>
        <w:t xml:space="preserve"> </w:t>
      </w:r>
      <w:r>
        <w:t>to</w:t>
      </w:r>
      <w:r>
        <w:rPr>
          <w:spacing w:val="-14"/>
        </w:rPr>
        <w:t xml:space="preserve"> </w:t>
      </w:r>
      <w:r>
        <w:t>medical</w:t>
      </w:r>
      <w:r>
        <w:rPr>
          <w:spacing w:val="-12"/>
        </w:rPr>
        <w:t xml:space="preserve"> </w:t>
      </w:r>
      <w:r>
        <w:t>knowledge</w:t>
      </w:r>
      <w:r>
        <w:rPr>
          <w:spacing w:val="-13"/>
        </w:rPr>
        <w:t xml:space="preserve"> </w:t>
      </w:r>
      <w:r>
        <w:t>about</w:t>
      </w:r>
      <w:r>
        <w:rPr>
          <w:spacing w:val="-6"/>
        </w:rPr>
        <w:t xml:space="preserve"> </w:t>
      </w:r>
      <w:r>
        <w:t>the</w:t>
      </w:r>
      <w:r>
        <w:rPr>
          <w:spacing w:val="-13"/>
        </w:rPr>
        <w:t xml:space="preserve"> </w:t>
      </w:r>
      <w:r>
        <w:t>prevention</w:t>
      </w:r>
      <w:r>
        <w:rPr>
          <w:spacing w:val="-13"/>
        </w:rPr>
        <w:t xml:space="preserve"> </w:t>
      </w:r>
      <w:r>
        <w:t>or</w:t>
      </w:r>
      <w:r>
        <w:rPr>
          <w:spacing w:val="-13"/>
        </w:rPr>
        <w:t xml:space="preserve"> </w:t>
      </w:r>
      <w:r>
        <w:t>treatment</w:t>
      </w:r>
      <w:r>
        <w:rPr>
          <w:spacing w:val="-6"/>
        </w:rPr>
        <w:t xml:space="preserve"> </w:t>
      </w:r>
      <w:r>
        <w:t>of</w:t>
      </w:r>
      <w:r>
        <w:rPr>
          <w:spacing w:val="-13"/>
        </w:rPr>
        <w:t xml:space="preserve"> </w:t>
      </w:r>
      <w:r>
        <w:t>a</w:t>
      </w:r>
      <w:r>
        <w:rPr>
          <w:spacing w:val="-12"/>
        </w:rPr>
        <w:t xml:space="preserve"> </w:t>
      </w:r>
      <w:r>
        <w:t>disease or medical condition.</w:t>
      </w:r>
    </w:p>
    <w:p w14:paraId="26A23482" w14:textId="77777777" w:rsidR="007974B5" w:rsidRDefault="007974B5">
      <w:pPr>
        <w:pStyle w:val="BodyText"/>
        <w:spacing w:before="41"/>
      </w:pPr>
    </w:p>
    <w:p w14:paraId="37C51FF7" w14:textId="77777777" w:rsidR="007974B5" w:rsidRDefault="00C7023E">
      <w:pPr>
        <w:pStyle w:val="BodyText"/>
        <w:spacing w:before="1" w:line="276" w:lineRule="auto"/>
        <w:ind w:left="350" w:right="411" w:hanging="1"/>
      </w:pPr>
      <w:r>
        <w:t>Financial support for a clinical trial must be provided by a private entity,</w:t>
      </w:r>
      <w:r>
        <w:rPr>
          <w:spacing w:val="-2"/>
        </w:rPr>
        <w:t xml:space="preserve"> </w:t>
      </w:r>
      <w:r>
        <w:t>including but not limited to pharmaceutical companies, interest groups, charities, or foundations. The University’s federally-negotiated rates apply to all federally-funded clinical trials, whether the funds are awarded directly from the sponsor or flow through an intermediary sponsor.</w:t>
      </w:r>
      <w:r>
        <w:rPr>
          <w:spacing w:val="40"/>
        </w:rPr>
        <w:t xml:space="preserve"> </w:t>
      </w:r>
      <w:r>
        <w:t>The University will not relinquish ownership rights to intellectual property developed under federally funded clinical trials, whether the funding is awarded</w:t>
      </w:r>
      <w:r>
        <w:rPr>
          <w:spacing w:val="-7"/>
        </w:rPr>
        <w:t xml:space="preserve"> </w:t>
      </w:r>
      <w:r>
        <w:t>directly</w:t>
      </w:r>
      <w:r>
        <w:rPr>
          <w:spacing w:val="-8"/>
        </w:rPr>
        <w:t xml:space="preserve"> </w:t>
      </w:r>
      <w:r>
        <w:t>or</w:t>
      </w:r>
      <w:r>
        <w:rPr>
          <w:spacing w:val="-9"/>
        </w:rPr>
        <w:t xml:space="preserve"> </w:t>
      </w:r>
      <w:r>
        <w:t>flows</w:t>
      </w:r>
      <w:r>
        <w:rPr>
          <w:spacing w:val="-5"/>
        </w:rPr>
        <w:t xml:space="preserve"> </w:t>
      </w:r>
      <w:r>
        <w:t>through</w:t>
      </w:r>
      <w:r>
        <w:rPr>
          <w:spacing w:val="-6"/>
        </w:rPr>
        <w:t xml:space="preserve"> </w:t>
      </w:r>
      <w:r>
        <w:t>a</w:t>
      </w:r>
      <w:r>
        <w:rPr>
          <w:spacing w:val="-6"/>
        </w:rPr>
        <w:t xml:space="preserve"> </w:t>
      </w:r>
      <w:r>
        <w:t>private</w:t>
      </w:r>
      <w:r>
        <w:rPr>
          <w:spacing w:val="-9"/>
        </w:rPr>
        <w:t xml:space="preserve"> </w:t>
      </w:r>
      <w:r>
        <w:t>entity</w:t>
      </w:r>
      <w:r>
        <w:rPr>
          <w:spacing w:val="-8"/>
        </w:rPr>
        <w:t xml:space="preserve"> </w:t>
      </w:r>
      <w:r>
        <w:t>intermediary</w:t>
      </w:r>
      <w:r>
        <w:rPr>
          <w:spacing w:val="-9"/>
        </w:rPr>
        <w:t xml:space="preserve"> </w:t>
      </w:r>
      <w:r>
        <w:t>sponsor</w:t>
      </w:r>
      <w:r>
        <w:rPr>
          <w:spacing w:val="-5"/>
        </w:rPr>
        <w:t xml:space="preserve"> </w:t>
      </w:r>
      <w:r>
        <w:t>bec</w:t>
      </w:r>
      <w:r>
        <w:t>ause</w:t>
      </w:r>
      <w:r>
        <w:rPr>
          <w:spacing w:val="-5"/>
        </w:rPr>
        <w:t xml:space="preserve"> </w:t>
      </w:r>
      <w:r>
        <w:t>such</w:t>
      </w:r>
      <w:r>
        <w:rPr>
          <w:spacing w:val="-4"/>
        </w:rPr>
        <w:t xml:space="preserve"> </w:t>
      </w:r>
      <w:r>
        <w:t>federally</w:t>
      </w:r>
      <w:r>
        <w:rPr>
          <w:spacing w:val="-8"/>
        </w:rPr>
        <w:t xml:space="preserve"> </w:t>
      </w:r>
      <w:r>
        <w:t>funded research is governed by the Bayh-Dole Act.</w:t>
      </w:r>
    </w:p>
    <w:p w14:paraId="20681E2D" w14:textId="77777777" w:rsidR="007974B5" w:rsidRDefault="007974B5">
      <w:pPr>
        <w:pStyle w:val="BodyText"/>
        <w:spacing w:before="36"/>
      </w:pPr>
    </w:p>
    <w:p w14:paraId="555A56D9" w14:textId="77777777" w:rsidR="007974B5" w:rsidRDefault="00C7023E">
      <w:pPr>
        <w:pStyle w:val="BodyText"/>
        <w:spacing w:line="276" w:lineRule="auto"/>
        <w:ind w:left="349" w:right="568"/>
      </w:pPr>
      <w:r>
        <w:t>In</w:t>
      </w:r>
      <w:r>
        <w:rPr>
          <w:spacing w:val="-8"/>
        </w:rPr>
        <w:t xml:space="preserve"> </w:t>
      </w:r>
      <w:r>
        <w:t>all</w:t>
      </w:r>
      <w:r>
        <w:rPr>
          <w:spacing w:val="-10"/>
        </w:rPr>
        <w:t xml:space="preserve"> </w:t>
      </w:r>
      <w:r>
        <w:t>cases,</w:t>
      </w:r>
      <w:r>
        <w:rPr>
          <w:spacing w:val="-11"/>
        </w:rPr>
        <w:t xml:space="preserve"> </w:t>
      </w:r>
      <w:r>
        <w:t>the</w:t>
      </w:r>
      <w:r>
        <w:rPr>
          <w:spacing w:val="-8"/>
        </w:rPr>
        <w:t xml:space="preserve"> </w:t>
      </w:r>
      <w:r>
        <w:t>study</w:t>
      </w:r>
      <w:r>
        <w:rPr>
          <w:spacing w:val="-7"/>
        </w:rPr>
        <w:t xml:space="preserve"> </w:t>
      </w:r>
      <w:r>
        <w:t>must</w:t>
      </w:r>
      <w:r>
        <w:rPr>
          <w:spacing w:val="-9"/>
        </w:rPr>
        <w:t xml:space="preserve"> </w:t>
      </w:r>
      <w:r>
        <w:t>include</w:t>
      </w:r>
      <w:r>
        <w:rPr>
          <w:spacing w:val="-9"/>
        </w:rPr>
        <w:t xml:space="preserve"> </w:t>
      </w:r>
      <w:r>
        <w:t>the</w:t>
      </w:r>
      <w:r>
        <w:rPr>
          <w:spacing w:val="-8"/>
        </w:rPr>
        <w:t xml:space="preserve"> </w:t>
      </w:r>
      <w:r>
        <w:t>prospective</w:t>
      </w:r>
      <w:r>
        <w:rPr>
          <w:spacing w:val="-9"/>
        </w:rPr>
        <w:t xml:space="preserve"> </w:t>
      </w:r>
      <w:r>
        <w:t>enrollment</w:t>
      </w:r>
      <w:r>
        <w:rPr>
          <w:spacing w:val="-9"/>
        </w:rPr>
        <w:t xml:space="preserve"> </w:t>
      </w:r>
      <w:r>
        <w:t>of</w:t>
      </w:r>
      <w:r>
        <w:rPr>
          <w:spacing w:val="-9"/>
        </w:rPr>
        <w:t xml:space="preserve"> </w:t>
      </w:r>
      <w:r>
        <w:t>human</w:t>
      </w:r>
      <w:r>
        <w:rPr>
          <w:spacing w:val="-5"/>
        </w:rPr>
        <w:t xml:space="preserve"> </w:t>
      </w:r>
      <w:r>
        <w:t>or</w:t>
      </w:r>
      <w:r>
        <w:rPr>
          <w:spacing w:val="-8"/>
        </w:rPr>
        <w:t xml:space="preserve"> </w:t>
      </w:r>
      <w:r>
        <w:t>vertebrate</w:t>
      </w:r>
      <w:r>
        <w:rPr>
          <w:spacing w:val="-8"/>
        </w:rPr>
        <w:t xml:space="preserve"> </w:t>
      </w:r>
      <w:r>
        <w:t>animal</w:t>
      </w:r>
      <w:r>
        <w:rPr>
          <w:spacing w:val="-8"/>
        </w:rPr>
        <w:t xml:space="preserve"> </w:t>
      </w:r>
      <w:r>
        <w:t>subjects and the controlled testing of a drug, device, treatment, or diagnostic under an approved protocol. Retrospective chart reviews, analysis of existing medical data and records, laboratory research, and federally funded projects are not categorized as clinical trials for purposes of applying</w:t>
      </w:r>
      <w:r>
        <w:rPr>
          <w:spacing w:val="-1"/>
        </w:rPr>
        <w:t xml:space="preserve"> </w:t>
      </w:r>
      <w:r>
        <w:t>the approved clinical trial indirect rate.</w:t>
      </w:r>
    </w:p>
    <w:p w14:paraId="05C2AD02" w14:textId="77777777" w:rsidR="007974B5" w:rsidRDefault="007974B5">
      <w:pPr>
        <w:pStyle w:val="BodyText"/>
        <w:spacing w:before="37"/>
      </w:pPr>
    </w:p>
    <w:p w14:paraId="1873E7F7" w14:textId="77777777" w:rsidR="007974B5" w:rsidRDefault="00C7023E">
      <w:pPr>
        <w:pStyle w:val="BodyText"/>
        <w:spacing w:line="276" w:lineRule="auto"/>
        <w:ind w:left="350"/>
      </w:pPr>
      <w:r>
        <w:t>Any</w:t>
      </w:r>
      <w:r>
        <w:rPr>
          <w:spacing w:val="-14"/>
        </w:rPr>
        <w:t xml:space="preserve"> </w:t>
      </w:r>
      <w:r>
        <w:t>deviation</w:t>
      </w:r>
      <w:r>
        <w:rPr>
          <w:spacing w:val="-10"/>
        </w:rPr>
        <w:t xml:space="preserve"> </w:t>
      </w:r>
      <w:r>
        <w:t>from</w:t>
      </w:r>
      <w:r>
        <w:rPr>
          <w:spacing w:val="-8"/>
        </w:rPr>
        <w:t xml:space="preserve"> </w:t>
      </w:r>
      <w:r>
        <w:t>this</w:t>
      </w:r>
      <w:r>
        <w:rPr>
          <w:spacing w:val="-14"/>
        </w:rPr>
        <w:t xml:space="preserve"> </w:t>
      </w:r>
      <w:r>
        <w:t>definition</w:t>
      </w:r>
      <w:r>
        <w:rPr>
          <w:spacing w:val="-13"/>
        </w:rPr>
        <w:t xml:space="preserve"> </w:t>
      </w:r>
      <w:r>
        <w:t>in</w:t>
      </w:r>
      <w:r>
        <w:rPr>
          <w:spacing w:val="-12"/>
        </w:rPr>
        <w:t xml:space="preserve"> </w:t>
      </w:r>
      <w:r>
        <w:t>determining</w:t>
      </w:r>
      <w:r>
        <w:rPr>
          <w:spacing w:val="-13"/>
        </w:rPr>
        <w:t xml:space="preserve"> </w:t>
      </w:r>
      <w:r>
        <w:t>the</w:t>
      </w:r>
      <w:r>
        <w:rPr>
          <w:spacing w:val="-13"/>
        </w:rPr>
        <w:t xml:space="preserve"> </w:t>
      </w:r>
      <w:r>
        <w:t>applicable</w:t>
      </w:r>
      <w:r>
        <w:rPr>
          <w:spacing w:val="-11"/>
        </w:rPr>
        <w:t xml:space="preserve"> </w:t>
      </w:r>
      <w:r>
        <w:t>rate</w:t>
      </w:r>
      <w:r>
        <w:rPr>
          <w:spacing w:val="-13"/>
        </w:rPr>
        <w:t xml:space="preserve"> </w:t>
      </w:r>
      <w:r>
        <w:t>must</w:t>
      </w:r>
      <w:r>
        <w:rPr>
          <w:spacing w:val="-9"/>
        </w:rPr>
        <w:t xml:space="preserve"> </w:t>
      </w:r>
      <w:r>
        <w:t>be</w:t>
      </w:r>
      <w:r>
        <w:rPr>
          <w:spacing w:val="-13"/>
        </w:rPr>
        <w:t xml:space="preserve"> </w:t>
      </w:r>
      <w:r>
        <w:t>approved</w:t>
      </w:r>
      <w:r>
        <w:rPr>
          <w:spacing w:val="-13"/>
        </w:rPr>
        <w:t xml:space="preserve"> </w:t>
      </w:r>
      <w:r>
        <w:t>by</w:t>
      </w:r>
      <w:r>
        <w:rPr>
          <w:spacing w:val="-14"/>
        </w:rPr>
        <w:t xml:space="preserve"> </w:t>
      </w:r>
      <w:r>
        <w:t>the</w:t>
      </w:r>
      <w:r>
        <w:rPr>
          <w:spacing w:val="-6"/>
        </w:rPr>
        <w:t xml:space="preserve"> </w:t>
      </w:r>
      <w:r>
        <w:t>Vice Chancellor for Research, Innovation &amp; Impact.</w:t>
      </w:r>
    </w:p>
    <w:p w14:paraId="3196B816" w14:textId="77777777" w:rsidR="007974B5" w:rsidRDefault="007974B5">
      <w:pPr>
        <w:pStyle w:val="BodyText"/>
        <w:spacing w:line="276" w:lineRule="auto"/>
        <w:sectPr w:rsidR="007974B5">
          <w:type w:val="continuous"/>
          <w:pgSz w:w="12240" w:h="15840"/>
          <w:pgMar w:top="1340" w:right="360" w:bottom="280" w:left="1080" w:header="720" w:footer="720" w:gutter="0"/>
          <w:cols w:space="720"/>
        </w:sectPr>
      </w:pPr>
    </w:p>
    <w:p w14:paraId="7E20F729" w14:textId="77777777" w:rsidR="007974B5" w:rsidRPr="00C7023E" w:rsidRDefault="00C7023E">
      <w:pPr>
        <w:pStyle w:val="Heading2"/>
        <w:spacing w:before="252"/>
      </w:pPr>
      <w:bookmarkStart w:id="3" w:name="Need_Help?"/>
      <w:bookmarkEnd w:id="3"/>
      <w:r w:rsidRPr="00C7023E">
        <w:lastRenderedPageBreak/>
        <w:t>Need</w:t>
      </w:r>
      <w:r w:rsidRPr="00C7023E">
        <w:rPr>
          <w:spacing w:val="-3"/>
        </w:rPr>
        <w:t xml:space="preserve"> </w:t>
      </w:r>
      <w:r w:rsidRPr="00C7023E">
        <w:rPr>
          <w:spacing w:val="-2"/>
        </w:rPr>
        <w:t>Help?</w:t>
      </w:r>
    </w:p>
    <w:p w14:paraId="51B6D18F" w14:textId="77777777" w:rsidR="007974B5" w:rsidRDefault="00C7023E">
      <w:pPr>
        <w:pStyle w:val="BodyText"/>
        <w:spacing w:before="21"/>
        <w:ind w:left="360"/>
      </w:pPr>
      <w:r>
        <w:rPr>
          <w:spacing w:val="-4"/>
          <w:position w:val="1"/>
        </w:rPr>
        <w:t>Contact</w:t>
      </w:r>
      <w:r>
        <w:rPr>
          <w:spacing w:val="8"/>
          <w:position w:val="1"/>
        </w:rPr>
        <w:t xml:space="preserve"> </w:t>
      </w:r>
      <w:r>
        <w:rPr>
          <w:spacing w:val="-4"/>
          <w:position w:val="1"/>
        </w:rPr>
        <w:t>OSPA</w:t>
      </w:r>
      <w:r>
        <w:rPr>
          <w:spacing w:val="-6"/>
          <w:position w:val="1"/>
        </w:rPr>
        <w:t xml:space="preserve"> </w:t>
      </w:r>
      <w:r>
        <w:rPr>
          <w:spacing w:val="-4"/>
          <w:position w:val="1"/>
        </w:rPr>
        <w:t>at</w:t>
      </w:r>
      <w:r>
        <w:rPr>
          <w:spacing w:val="9"/>
          <w:position w:val="1"/>
        </w:rPr>
        <w:t xml:space="preserve"> </w:t>
      </w:r>
      <w:hyperlink r:id="rId7">
        <w:r>
          <w:rPr>
            <w:color w:val="0000FF"/>
            <w:spacing w:val="-4"/>
            <w:position w:val="1"/>
            <w:u w:val="single" w:color="0000FF"/>
          </w:rPr>
          <w:t>muresearchospact@missouri.edu</w:t>
        </w:r>
      </w:hyperlink>
      <w:r>
        <w:rPr>
          <w:color w:val="0000FF"/>
          <w:spacing w:val="2"/>
          <w:position w:val="1"/>
        </w:rPr>
        <w:t xml:space="preserve"> </w:t>
      </w:r>
      <w:r>
        <w:rPr>
          <w:spacing w:val="-4"/>
        </w:rPr>
        <w:t>or</w:t>
      </w:r>
      <w:r>
        <w:rPr>
          <w:spacing w:val="5"/>
        </w:rPr>
        <w:t xml:space="preserve"> </w:t>
      </w:r>
      <w:r>
        <w:rPr>
          <w:spacing w:val="-4"/>
        </w:rPr>
        <w:t>882-7560.</w:t>
      </w:r>
    </w:p>
    <w:p w14:paraId="6D9249EA" w14:textId="77777777" w:rsidR="007974B5" w:rsidRDefault="00C7023E">
      <w:pPr>
        <w:spacing w:before="214" w:line="268" w:lineRule="auto"/>
        <w:ind w:left="350" w:right="8757"/>
        <w:rPr>
          <w:sz w:val="20"/>
        </w:rPr>
      </w:pPr>
      <w:r w:rsidRPr="00C7023E">
        <w:rPr>
          <w:b/>
          <w:sz w:val="24"/>
        </w:rPr>
        <w:t>Related</w:t>
      </w:r>
      <w:r w:rsidRPr="00C7023E">
        <w:rPr>
          <w:b/>
          <w:spacing w:val="-17"/>
          <w:sz w:val="24"/>
        </w:rPr>
        <w:t xml:space="preserve"> </w:t>
      </w:r>
      <w:r w:rsidRPr="00C7023E">
        <w:rPr>
          <w:b/>
          <w:sz w:val="24"/>
        </w:rPr>
        <w:t xml:space="preserve">Topics </w:t>
      </w:r>
      <w:hyperlink r:id="rId8">
        <w:r>
          <w:rPr>
            <w:color w:val="0000FF"/>
            <w:sz w:val="20"/>
            <w:u w:val="single" w:color="0000FF"/>
          </w:rPr>
          <w:t xml:space="preserve">Indirect Cost </w:t>
        </w:r>
      </w:hyperlink>
      <w:r>
        <w:rPr>
          <w:color w:val="0000FF"/>
          <w:sz w:val="20"/>
        </w:rPr>
        <w:t xml:space="preserve"> </w:t>
      </w:r>
      <w:hyperlink r:id="rId9">
        <w:r>
          <w:rPr>
            <w:color w:val="0000FF"/>
            <w:spacing w:val="-2"/>
            <w:sz w:val="20"/>
            <w:u w:val="single" w:color="0000FF"/>
          </w:rPr>
          <w:t>Recovery</w:t>
        </w:r>
      </w:hyperlink>
    </w:p>
    <w:p w14:paraId="202A9696" w14:textId="77777777" w:rsidR="007974B5" w:rsidRDefault="00C7023E">
      <w:pPr>
        <w:pStyle w:val="BodyText"/>
        <w:spacing w:before="213"/>
        <w:ind w:left="350"/>
      </w:pPr>
      <w:hyperlink r:id="rId10">
        <w:r>
          <w:rPr>
            <w:color w:val="0000FF"/>
            <w:spacing w:val="-5"/>
            <w:u w:val="single" w:color="0000FF"/>
          </w:rPr>
          <w:t>Intellectual</w:t>
        </w:r>
        <w:r>
          <w:rPr>
            <w:color w:val="0000FF"/>
            <w:spacing w:val="3"/>
            <w:u w:val="single" w:color="0000FF"/>
          </w:rPr>
          <w:t xml:space="preserve"> </w:t>
        </w:r>
        <w:r>
          <w:rPr>
            <w:color w:val="0000FF"/>
            <w:spacing w:val="-2"/>
            <w:u w:val="single" w:color="0000FF"/>
          </w:rPr>
          <w:t>Property</w:t>
        </w:r>
      </w:hyperlink>
    </w:p>
    <w:p w14:paraId="1CDFC6A5" w14:textId="77777777" w:rsidR="007974B5" w:rsidRDefault="007974B5">
      <w:pPr>
        <w:pStyle w:val="BodyText"/>
        <w:spacing w:before="30"/>
        <w:rPr>
          <w:sz w:val="24"/>
        </w:rPr>
      </w:pPr>
    </w:p>
    <w:p w14:paraId="4FD46CBA" w14:textId="77777777" w:rsidR="007974B5" w:rsidRPr="00C7023E" w:rsidRDefault="00C7023E">
      <w:pPr>
        <w:pStyle w:val="Heading2"/>
      </w:pPr>
      <w:bookmarkStart w:id="4" w:name="Effective_Date"/>
      <w:bookmarkEnd w:id="4"/>
      <w:r w:rsidRPr="00C7023E">
        <w:rPr>
          <w:spacing w:val="-2"/>
        </w:rPr>
        <w:t>Effective</w:t>
      </w:r>
      <w:r w:rsidRPr="00C7023E">
        <w:rPr>
          <w:spacing w:val="-9"/>
        </w:rPr>
        <w:t xml:space="preserve"> </w:t>
      </w:r>
      <w:r w:rsidRPr="00C7023E">
        <w:rPr>
          <w:spacing w:val="-4"/>
        </w:rPr>
        <w:t>Date</w:t>
      </w:r>
    </w:p>
    <w:p w14:paraId="235BEBAC" w14:textId="77777777" w:rsidR="007974B5" w:rsidRDefault="00C7023E">
      <w:pPr>
        <w:pStyle w:val="BodyText"/>
        <w:spacing w:before="41"/>
        <w:ind w:left="360"/>
      </w:pPr>
      <w:r>
        <w:rPr>
          <w:spacing w:val="-2"/>
        </w:rPr>
        <w:t>04/13/2016</w:t>
      </w:r>
    </w:p>
    <w:p w14:paraId="186CDFA2" w14:textId="77777777" w:rsidR="007974B5" w:rsidRDefault="007974B5">
      <w:pPr>
        <w:pStyle w:val="BodyText"/>
        <w:spacing w:before="95"/>
      </w:pPr>
    </w:p>
    <w:p w14:paraId="23CBFB88" w14:textId="77777777" w:rsidR="007974B5" w:rsidRPr="00C7023E" w:rsidRDefault="00C7023E">
      <w:pPr>
        <w:pStyle w:val="Heading2"/>
        <w:spacing w:before="1"/>
      </w:pPr>
      <w:bookmarkStart w:id="5" w:name="Last_Revision_Date"/>
      <w:bookmarkEnd w:id="5"/>
      <w:r w:rsidRPr="00C7023E">
        <w:t>Last</w:t>
      </w:r>
      <w:r w:rsidRPr="00C7023E">
        <w:rPr>
          <w:spacing w:val="-9"/>
        </w:rPr>
        <w:t xml:space="preserve"> </w:t>
      </w:r>
      <w:r w:rsidRPr="00C7023E">
        <w:t>Revision</w:t>
      </w:r>
      <w:r w:rsidRPr="00C7023E">
        <w:rPr>
          <w:spacing w:val="-6"/>
        </w:rPr>
        <w:t xml:space="preserve"> </w:t>
      </w:r>
      <w:r w:rsidRPr="00C7023E">
        <w:rPr>
          <w:spacing w:val="-4"/>
        </w:rPr>
        <w:t>Date</w:t>
      </w:r>
    </w:p>
    <w:p w14:paraId="637D544A" w14:textId="77777777" w:rsidR="007974B5" w:rsidRDefault="00C7023E">
      <w:pPr>
        <w:pStyle w:val="BodyText"/>
        <w:spacing w:before="43"/>
        <w:ind w:left="360"/>
      </w:pPr>
      <w:r>
        <w:rPr>
          <w:spacing w:val="-2"/>
        </w:rPr>
        <w:t>11/05/2024</w:t>
      </w:r>
    </w:p>
    <w:p w14:paraId="5A178A73" w14:textId="77777777" w:rsidR="007974B5" w:rsidRDefault="007974B5">
      <w:pPr>
        <w:pStyle w:val="BodyText"/>
      </w:pPr>
    </w:p>
    <w:p w14:paraId="54274960" w14:textId="77777777" w:rsidR="007974B5" w:rsidRDefault="007974B5">
      <w:pPr>
        <w:pStyle w:val="BodyText"/>
      </w:pPr>
    </w:p>
    <w:p w14:paraId="0236BB6D" w14:textId="77777777" w:rsidR="007974B5" w:rsidRDefault="007974B5">
      <w:pPr>
        <w:pStyle w:val="BodyText"/>
        <w:spacing w:before="59"/>
      </w:pPr>
    </w:p>
    <w:p w14:paraId="08C0E605" w14:textId="77777777" w:rsidR="007974B5" w:rsidRDefault="00C7023E">
      <w:pPr>
        <w:spacing w:line="242" w:lineRule="auto"/>
        <w:ind w:left="360" w:right="7102"/>
        <w:rPr>
          <w:sz w:val="18"/>
        </w:rPr>
      </w:pPr>
      <w:r>
        <w:rPr>
          <w:noProof/>
          <w:sz w:val="18"/>
        </w:rPr>
        <w:drawing>
          <wp:anchor distT="0" distB="0" distL="0" distR="0" simplePos="0" relativeHeight="15729152" behindDoc="0" locked="0" layoutInCell="1" allowOverlap="1" wp14:anchorId="08048778" wp14:editId="4186ABC5">
            <wp:simplePos x="0" y="0"/>
            <wp:positionH relativeFrom="page">
              <wp:posOffset>5247640</wp:posOffset>
            </wp:positionH>
            <wp:positionV relativeFrom="paragraph">
              <wp:posOffset>-71424</wp:posOffset>
            </wp:positionV>
            <wp:extent cx="2135174" cy="721992"/>
            <wp:effectExtent l="0" t="0" r="0" b="0"/>
            <wp:wrapNone/>
            <wp:docPr id="2" name="Imag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pic:cNvPicPr/>
                  </pic:nvPicPr>
                  <pic:blipFill>
                    <a:blip r:embed="rId11" cstate="print"/>
                    <a:stretch>
                      <a:fillRect/>
                    </a:stretch>
                  </pic:blipFill>
                  <pic:spPr>
                    <a:xfrm>
                      <a:off x="0" y="0"/>
                      <a:ext cx="2135174" cy="721992"/>
                    </a:xfrm>
                    <a:prstGeom prst="rect">
                      <a:avLst/>
                    </a:prstGeom>
                  </pic:spPr>
                </pic:pic>
              </a:graphicData>
            </a:graphic>
          </wp:anchor>
        </w:drawing>
      </w:r>
      <w:r>
        <w:rPr>
          <w:sz w:val="18"/>
        </w:rPr>
        <w:t>Sponsored Programs Administration 601 Turner Ave</w:t>
      </w:r>
      <w:r>
        <w:rPr>
          <w:spacing w:val="-9"/>
          <w:sz w:val="18"/>
        </w:rPr>
        <w:t xml:space="preserve"> </w:t>
      </w:r>
      <w:r>
        <w:rPr>
          <w:sz w:val="18"/>
        </w:rPr>
        <w:t>|</w:t>
      </w:r>
      <w:r>
        <w:rPr>
          <w:spacing w:val="-4"/>
          <w:sz w:val="18"/>
        </w:rPr>
        <w:t xml:space="preserve"> </w:t>
      </w:r>
      <w:r>
        <w:rPr>
          <w:sz w:val="18"/>
        </w:rPr>
        <w:t>Columbia,</w:t>
      </w:r>
      <w:r>
        <w:rPr>
          <w:spacing w:val="-12"/>
          <w:sz w:val="18"/>
        </w:rPr>
        <w:t xml:space="preserve"> </w:t>
      </w:r>
      <w:r>
        <w:rPr>
          <w:sz w:val="18"/>
        </w:rPr>
        <w:t>MO</w:t>
      </w:r>
      <w:r>
        <w:rPr>
          <w:spacing w:val="-3"/>
          <w:sz w:val="18"/>
        </w:rPr>
        <w:t xml:space="preserve"> </w:t>
      </w:r>
      <w:r>
        <w:rPr>
          <w:sz w:val="18"/>
        </w:rPr>
        <w:t>65211 573-882-7560</w:t>
      </w:r>
      <w:r>
        <w:rPr>
          <w:spacing w:val="-13"/>
          <w:sz w:val="18"/>
        </w:rPr>
        <w:t xml:space="preserve"> </w:t>
      </w:r>
      <w:r>
        <w:rPr>
          <w:sz w:val="18"/>
        </w:rPr>
        <w:t>|</w:t>
      </w:r>
      <w:r>
        <w:rPr>
          <w:spacing w:val="-12"/>
          <w:sz w:val="18"/>
        </w:rPr>
        <w:t xml:space="preserve"> </w:t>
      </w:r>
      <w:hyperlink r:id="rId12">
        <w:r>
          <w:rPr>
            <w:sz w:val="18"/>
          </w:rPr>
          <w:t>grantsdc@missouri.edu</w:t>
        </w:r>
      </w:hyperlink>
    </w:p>
    <w:sectPr w:rsidR="007974B5">
      <w:pgSz w:w="12240" w:h="15840"/>
      <w:pgMar w:top="1820" w:right="3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974B5"/>
    <w:rsid w:val="007974B5"/>
    <w:rsid w:val="00C7023E"/>
    <w:rsid w:val="00F80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3C4F"/>
  <w15:docId w15:val="{57EEA60B-D844-4BDF-8DEF-3F224625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86"/>
      <w:ind w:left="360"/>
      <w:outlineLvl w:val="0"/>
    </w:pPr>
    <w:rPr>
      <w:sz w:val="28"/>
      <w:szCs w:val="28"/>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research.missouri.edu/ospa/sppg/OSPA_SPPG_FA_Cost_Recovery.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uresearchospact@missouri.edu" TargetMode="External"/><Relationship Id="rId12" Type="http://schemas.openxmlformats.org/officeDocument/2006/relationships/hyperlink" Target="mailto:grantsdc@missouri.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research.missouri.edu/ospa/grantfactsheet.pdf" TargetMode="External"/><Relationship Id="rId11" Type="http://schemas.openxmlformats.org/officeDocument/2006/relationships/image" Target="media/image1.jpeg"/><Relationship Id="rId5" Type="http://schemas.openxmlformats.org/officeDocument/2006/relationships/hyperlink" Target="http://osp.od.nih.gov/office-clinical-research-and-bioethics-policy/clinical-research-policy/clinical-trials" TargetMode="External"/><Relationship Id="rId10" Type="http://schemas.openxmlformats.org/officeDocument/2006/relationships/hyperlink" Target="https://docs.research.missouri.edu/ospa/sppg/OSPA_SPPG_Intellectual_Property.pdf" TargetMode="External"/><Relationship Id="rId4" Type="http://schemas.openxmlformats.org/officeDocument/2006/relationships/hyperlink" Target="https://www.umsystem.edu/ums/policies/finance/facilities_and_administrative_costs" TargetMode="External"/><Relationship Id="rId9" Type="http://schemas.openxmlformats.org/officeDocument/2006/relationships/hyperlink" Target="https://docs.research.missouri.edu/ospa/sppg/OSPA_SPPG_FA_Cost_Recover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3488</Characters>
  <Application>Microsoft Office Word</Application>
  <DocSecurity>0</DocSecurity>
  <Lines>29</Lines>
  <Paragraphs>8</Paragraphs>
  <ScaleCrop>false</ScaleCrop>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Research Computer Services</dc:creator>
  <cp:lastModifiedBy>Sowers, Jessica</cp:lastModifiedBy>
  <cp:revision>2</cp:revision>
  <dcterms:created xsi:type="dcterms:W3CDTF">2026-04-23T19:52:00Z</dcterms:created>
  <dcterms:modified xsi:type="dcterms:W3CDTF">2026-04-23T19:53:00Z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Acrobat PDFMaker 24 for Word</vt:lpwstr>
  </property>
  <property fmtid="{D5CDD505-2E9C-101B-9397-08002B2CF9AE}" pid="4" name="LastSaved">
    <vt:filetime>2026-04-23T00:00:00Z</vt:filetime>
  </property>
  <property fmtid="{D5CDD505-2E9C-101B-9397-08002B2CF9AE}" pid="5" name="Producer">
    <vt:lpwstr>Adobe PDF Library 24.3.212</vt:lpwstr>
  </property>
  <property fmtid="{D5CDD505-2E9C-101B-9397-08002B2CF9AE}" pid="6" name="SourceModified">
    <vt:lpwstr>D:20241106143313</vt:lpwstr>
  </property>
</Properties>
</file>