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C242" w14:textId="77777777" w:rsidR="000F4CFF" w:rsidRPr="00FE19DF" w:rsidRDefault="000F4CFF">
      <w:pPr>
        <w:pStyle w:val="BodyText"/>
        <w:spacing w:before="112"/>
        <w:rPr>
          <w:sz w:val="28"/>
        </w:rPr>
      </w:pPr>
    </w:p>
    <w:p w14:paraId="66601B6A" w14:textId="58B6219A" w:rsidR="000F4CFF" w:rsidRDefault="00FE19DF" w:rsidP="00FE19DF">
      <w:pPr>
        <w:pStyle w:val="Heading1"/>
        <w:spacing w:line="252" w:lineRule="auto"/>
        <w:rPr>
          <w:u w:val="thick" w:color="7F0000"/>
        </w:rPr>
      </w:pPr>
      <w:r w:rsidRPr="00FE19DF">
        <w:rPr>
          <w:noProof/>
        </w:rPr>
        <w:drawing>
          <wp:anchor distT="0" distB="0" distL="0" distR="0" simplePos="0" relativeHeight="251658752" behindDoc="1" locked="0" layoutInCell="1" allowOverlap="1" wp14:anchorId="7691CAE3" wp14:editId="1C221EBF">
            <wp:simplePos x="0" y="0"/>
            <wp:positionH relativeFrom="page">
              <wp:posOffset>114876</wp:posOffset>
            </wp:positionH>
            <wp:positionV relativeFrom="paragraph">
              <wp:posOffset>-275104</wp:posOffset>
            </wp:positionV>
            <wp:extent cx="3580898" cy="952373"/>
            <wp:effectExtent l="0" t="0" r="0" b="0"/>
            <wp:wrapNone/>
            <wp:docPr id="1" name="Image 1" descr="Sponsored Programs Administration University of Missour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ponsored Programs Administration University of Missouri"/>
                    <pic:cNvPicPr/>
                  </pic:nvPicPr>
                  <pic:blipFill>
                    <a:blip r:embed="rId5" cstate="print"/>
                    <a:stretch>
                      <a:fillRect/>
                    </a:stretch>
                  </pic:blipFill>
                  <pic:spPr>
                    <a:xfrm>
                      <a:off x="0" y="0"/>
                      <a:ext cx="3580898" cy="952373"/>
                    </a:xfrm>
                    <a:prstGeom prst="rect">
                      <a:avLst/>
                    </a:prstGeom>
                  </pic:spPr>
                </pic:pic>
              </a:graphicData>
            </a:graphic>
          </wp:anchor>
        </w:drawing>
      </w:r>
    </w:p>
    <w:p w14:paraId="0A91BDE0" w14:textId="77777777" w:rsidR="00FE19DF" w:rsidRDefault="00FE19DF" w:rsidP="00FE19DF">
      <w:pPr>
        <w:pStyle w:val="Heading1"/>
        <w:spacing w:line="252" w:lineRule="auto"/>
        <w:rPr>
          <w:u w:val="thick" w:color="7F0000"/>
        </w:rPr>
      </w:pPr>
    </w:p>
    <w:p w14:paraId="3F474A2C" w14:textId="77777777" w:rsidR="00FE19DF" w:rsidRPr="00FE19DF" w:rsidRDefault="00FE19DF" w:rsidP="00FE19DF">
      <w:pPr>
        <w:pStyle w:val="Heading1"/>
        <w:spacing w:line="252" w:lineRule="auto"/>
      </w:pPr>
    </w:p>
    <w:p w14:paraId="1008AF9E" w14:textId="77777777" w:rsidR="000F4CFF" w:rsidRPr="00FE19DF" w:rsidRDefault="00FE19DF">
      <w:pPr>
        <w:spacing w:before="315"/>
        <w:ind w:left="361"/>
        <w:jc w:val="center"/>
        <w:rPr>
          <w:b/>
          <w:sz w:val="28"/>
        </w:rPr>
      </w:pPr>
      <w:r w:rsidRPr="00FE19DF">
        <w:rPr>
          <w:b/>
          <w:sz w:val="28"/>
        </w:rPr>
        <w:t>PI</w:t>
      </w:r>
      <w:r w:rsidRPr="00FE19DF">
        <w:rPr>
          <w:b/>
          <w:spacing w:val="-5"/>
          <w:sz w:val="28"/>
        </w:rPr>
        <w:t xml:space="preserve"> </w:t>
      </w:r>
      <w:r w:rsidRPr="00FE19DF">
        <w:rPr>
          <w:b/>
          <w:sz w:val="28"/>
        </w:rPr>
        <w:t>QUICK</w:t>
      </w:r>
      <w:r w:rsidRPr="00FE19DF">
        <w:rPr>
          <w:b/>
          <w:spacing w:val="-2"/>
          <w:sz w:val="28"/>
        </w:rPr>
        <w:t xml:space="preserve"> </w:t>
      </w:r>
      <w:r w:rsidRPr="00FE19DF">
        <w:rPr>
          <w:b/>
          <w:spacing w:val="-4"/>
          <w:sz w:val="28"/>
        </w:rPr>
        <w:t>GUIDE</w:t>
      </w:r>
    </w:p>
    <w:p w14:paraId="3845E869" w14:textId="77777777" w:rsidR="000F4CFF" w:rsidRPr="00FE19DF" w:rsidRDefault="00FE19DF">
      <w:pPr>
        <w:pStyle w:val="Heading2"/>
      </w:pPr>
      <w:r w:rsidRPr="00FE19DF">
        <w:t>MAJOR CHANGES IN THE UNIFORM GUIDANCE AFFECTING</w:t>
      </w:r>
      <w:r w:rsidRPr="00FE19DF">
        <w:rPr>
          <w:spacing w:val="40"/>
        </w:rPr>
        <w:t xml:space="preserve"> </w:t>
      </w:r>
      <w:r w:rsidRPr="00FE19DF">
        <w:t>PROPOSAL</w:t>
      </w:r>
      <w:r w:rsidRPr="00FE19DF">
        <w:rPr>
          <w:spacing w:val="-5"/>
        </w:rPr>
        <w:t xml:space="preserve"> </w:t>
      </w:r>
      <w:r w:rsidRPr="00FE19DF">
        <w:t>BUDGETS,</w:t>
      </w:r>
      <w:r w:rsidRPr="00FE19DF">
        <w:rPr>
          <w:spacing w:val="-5"/>
        </w:rPr>
        <w:t xml:space="preserve"> </w:t>
      </w:r>
      <w:r w:rsidRPr="00FE19DF">
        <w:t>SUBAWARDS,</w:t>
      </w:r>
      <w:r w:rsidRPr="00FE19DF">
        <w:rPr>
          <w:spacing w:val="-5"/>
        </w:rPr>
        <w:t xml:space="preserve"> </w:t>
      </w:r>
      <w:r w:rsidRPr="00FE19DF">
        <w:t>AND</w:t>
      </w:r>
      <w:r w:rsidRPr="00FE19DF">
        <w:rPr>
          <w:spacing w:val="-6"/>
        </w:rPr>
        <w:t xml:space="preserve"> </w:t>
      </w:r>
      <w:r w:rsidRPr="00FE19DF">
        <w:t>CHARGING</w:t>
      </w:r>
      <w:r w:rsidRPr="00FE19DF">
        <w:rPr>
          <w:spacing w:val="-5"/>
        </w:rPr>
        <w:t xml:space="preserve"> </w:t>
      </w:r>
      <w:r w:rsidRPr="00FE19DF">
        <w:t>OF</w:t>
      </w:r>
      <w:r w:rsidRPr="00FE19DF">
        <w:rPr>
          <w:spacing w:val="-5"/>
        </w:rPr>
        <w:t xml:space="preserve"> </w:t>
      </w:r>
      <w:r w:rsidRPr="00FE19DF">
        <w:t>DIRECT</w:t>
      </w:r>
      <w:r w:rsidRPr="00FE19DF">
        <w:rPr>
          <w:spacing w:val="-8"/>
        </w:rPr>
        <w:t xml:space="preserve"> </w:t>
      </w:r>
      <w:r w:rsidRPr="00FE19DF">
        <w:t>COSTS</w:t>
      </w:r>
    </w:p>
    <w:p w14:paraId="6CF1DDD5" w14:textId="77777777" w:rsidR="000F4CFF" w:rsidRPr="00FE19DF" w:rsidRDefault="00FE19DF">
      <w:pPr>
        <w:pStyle w:val="BodyText"/>
        <w:spacing w:before="240" w:line="276" w:lineRule="auto"/>
        <w:ind w:left="360" w:right="1"/>
        <w:jc w:val="both"/>
      </w:pPr>
      <w:r w:rsidRPr="00FE19DF">
        <w:t>The U.S. Office of Management</w:t>
      </w:r>
      <w:r w:rsidRPr="00FE19DF">
        <w:rPr>
          <w:spacing w:val="-1"/>
        </w:rPr>
        <w:t xml:space="preserve"> </w:t>
      </w:r>
      <w:r w:rsidRPr="00FE19DF">
        <w:t>and Budget</w:t>
      </w:r>
      <w:r w:rsidRPr="00FE19DF">
        <w:rPr>
          <w:spacing w:val="-1"/>
        </w:rPr>
        <w:t xml:space="preserve"> </w:t>
      </w:r>
      <w:r w:rsidRPr="00FE19DF">
        <w:t xml:space="preserve">(OMB) </w:t>
      </w:r>
      <w:proofErr w:type="gramStart"/>
      <w:r w:rsidRPr="00FE19DF">
        <w:t>has</w:t>
      </w:r>
      <w:proofErr w:type="gramEnd"/>
      <w:r w:rsidRPr="00FE19DF">
        <w:t xml:space="preserve"> combined many federal circulars into a</w:t>
      </w:r>
      <w:r w:rsidRPr="00FE19DF">
        <w:rPr>
          <w:spacing w:val="-1"/>
        </w:rPr>
        <w:t xml:space="preserve"> </w:t>
      </w:r>
      <w:r w:rsidRPr="00FE19DF">
        <w:t>single document of government-wide grants management policies and guidelines. Known as Uniform</w:t>
      </w:r>
      <w:r w:rsidRPr="00FE19DF">
        <w:rPr>
          <w:spacing w:val="-2"/>
        </w:rPr>
        <w:t xml:space="preserve"> </w:t>
      </w:r>
      <w:r w:rsidRPr="00FE19DF">
        <w:t>Guidance, or 2 CFR 200, these new</w:t>
      </w:r>
      <w:r w:rsidRPr="00FE19DF">
        <w:rPr>
          <w:spacing w:val="-1"/>
        </w:rPr>
        <w:t xml:space="preserve"> </w:t>
      </w:r>
      <w:r w:rsidRPr="00FE19DF">
        <w:t>regulations will become effective December 26, 2014.</w:t>
      </w:r>
    </w:p>
    <w:p w14:paraId="15D81E7B" w14:textId="77777777" w:rsidR="000F4CFF" w:rsidRPr="00FE19DF" w:rsidRDefault="000F4CFF">
      <w:pPr>
        <w:pStyle w:val="BodyText"/>
        <w:spacing w:before="9"/>
        <w:rPr>
          <w:sz w:val="17"/>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7592"/>
      </w:tblGrid>
      <w:tr w:rsidR="00FE19DF" w:rsidRPr="00FE19DF" w14:paraId="2CDBDD5C" w14:textId="77777777">
        <w:trPr>
          <w:trHeight w:val="3953"/>
        </w:trPr>
        <w:tc>
          <w:tcPr>
            <w:tcW w:w="3080" w:type="dxa"/>
          </w:tcPr>
          <w:p w14:paraId="1F160FF4" w14:textId="77777777" w:rsidR="000F4CFF" w:rsidRPr="00FE19DF" w:rsidRDefault="00FE19DF">
            <w:pPr>
              <w:pStyle w:val="TableParagraph"/>
              <w:spacing w:before="272"/>
              <w:ind w:left="215" w:right="626"/>
              <w:rPr>
                <w:b/>
                <w:sz w:val="24"/>
              </w:rPr>
            </w:pPr>
            <w:r w:rsidRPr="00FE19DF">
              <w:rPr>
                <w:b/>
                <w:spacing w:val="-2"/>
                <w:sz w:val="24"/>
              </w:rPr>
              <w:t xml:space="preserve">CHARGING ADMINISTRATIVE/ CLERICAL </w:t>
            </w:r>
            <w:r w:rsidRPr="00FE19DF">
              <w:rPr>
                <w:b/>
                <w:sz w:val="24"/>
              </w:rPr>
              <w:t>SALARY COSTS</w:t>
            </w:r>
          </w:p>
          <w:p w14:paraId="2C6ED11E" w14:textId="77777777" w:rsidR="000F4CFF" w:rsidRPr="00FE19DF" w:rsidRDefault="00FE19DF">
            <w:pPr>
              <w:pStyle w:val="TableParagraph"/>
              <w:spacing w:before="187"/>
              <w:ind w:left="196"/>
              <w:rPr>
                <w:b/>
                <w:sz w:val="20"/>
              </w:rPr>
            </w:pPr>
            <w:r w:rsidRPr="00FE19DF">
              <w:rPr>
                <w:b/>
                <w:sz w:val="20"/>
              </w:rPr>
              <w:t>Applicable</w:t>
            </w:r>
            <w:r w:rsidRPr="00FE19DF">
              <w:rPr>
                <w:b/>
                <w:spacing w:val="-13"/>
                <w:sz w:val="20"/>
              </w:rPr>
              <w:t xml:space="preserve"> </w:t>
            </w:r>
            <w:r w:rsidRPr="00FE19DF">
              <w:rPr>
                <w:b/>
                <w:sz w:val="20"/>
              </w:rPr>
              <w:t>Uniform</w:t>
            </w:r>
            <w:r w:rsidRPr="00FE19DF">
              <w:rPr>
                <w:b/>
                <w:spacing w:val="-12"/>
                <w:sz w:val="20"/>
              </w:rPr>
              <w:t xml:space="preserve"> </w:t>
            </w:r>
            <w:r w:rsidRPr="00FE19DF">
              <w:rPr>
                <w:b/>
                <w:sz w:val="20"/>
              </w:rPr>
              <w:t xml:space="preserve">Guidance </w:t>
            </w:r>
            <w:r w:rsidRPr="00FE19DF">
              <w:rPr>
                <w:b/>
                <w:spacing w:val="-2"/>
                <w:sz w:val="20"/>
              </w:rPr>
              <w:t>sections:</w:t>
            </w:r>
          </w:p>
          <w:p w14:paraId="32593EB2" w14:textId="77777777" w:rsidR="000F4CFF" w:rsidRPr="00FE19DF" w:rsidRDefault="00FE19DF">
            <w:pPr>
              <w:pStyle w:val="TableParagraph"/>
              <w:spacing w:line="228" w:lineRule="exact"/>
              <w:ind w:left="196"/>
              <w:rPr>
                <w:b/>
                <w:sz w:val="20"/>
              </w:rPr>
            </w:pPr>
            <w:r w:rsidRPr="00FE19DF">
              <w:rPr>
                <w:b/>
                <w:spacing w:val="-2"/>
                <w:sz w:val="20"/>
              </w:rPr>
              <w:t>200.413</w:t>
            </w:r>
          </w:p>
          <w:p w14:paraId="24C7017E" w14:textId="77777777" w:rsidR="000F4CFF" w:rsidRPr="00FE19DF" w:rsidRDefault="00FE19DF">
            <w:pPr>
              <w:pStyle w:val="TableParagraph"/>
              <w:ind w:left="196"/>
              <w:rPr>
                <w:b/>
                <w:sz w:val="20"/>
              </w:rPr>
            </w:pPr>
            <w:r w:rsidRPr="00FE19DF">
              <w:rPr>
                <w:b/>
                <w:spacing w:val="-2"/>
                <w:sz w:val="20"/>
              </w:rPr>
              <w:t>200.430</w:t>
            </w:r>
          </w:p>
        </w:tc>
        <w:tc>
          <w:tcPr>
            <w:tcW w:w="7592" w:type="dxa"/>
          </w:tcPr>
          <w:p w14:paraId="0190F58D" w14:textId="77777777" w:rsidR="000F4CFF" w:rsidRPr="00FE19DF" w:rsidRDefault="00FE19DF">
            <w:pPr>
              <w:pStyle w:val="TableParagraph"/>
              <w:ind w:left="213" w:right="134"/>
              <w:jc w:val="both"/>
              <w:rPr>
                <w:b/>
                <w:sz w:val="20"/>
              </w:rPr>
            </w:pPr>
            <w:r w:rsidRPr="00FE19DF">
              <w:rPr>
                <w:b/>
                <w:sz w:val="20"/>
              </w:rPr>
              <w:t xml:space="preserve">Administrative and clerical salaries (in certain circumstances) can be included </w:t>
            </w:r>
            <w:proofErr w:type="gramStart"/>
            <w:r w:rsidRPr="00FE19DF">
              <w:rPr>
                <w:b/>
                <w:sz w:val="20"/>
              </w:rPr>
              <w:t>on</w:t>
            </w:r>
            <w:proofErr w:type="gramEnd"/>
            <w:r w:rsidRPr="00FE19DF">
              <w:rPr>
                <w:b/>
                <w:sz w:val="20"/>
              </w:rPr>
              <w:t xml:space="preserve"> competitive proposal budgets.</w:t>
            </w:r>
          </w:p>
          <w:p w14:paraId="3128CD3C" w14:textId="77777777" w:rsidR="000F4CFF" w:rsidRPr="00FE19DF" w:rsidRDefault="00FE19DF">
            <w:pPr>
              <w:pStyle w:val="TableParagraph"/>
              <w:spacing w:before="224"/>
              <w:ind w:left="213" w:right="129"/>
              <w:jc w:val="both"/>
              <w:rPr>
                <w:sz w:val="20"/>
              </w:rPr>
            </w:pPr>
            <w:r w:rsidRPr="00FE19DF">
              <w:rPr>
                <w:sz w:val="20"/>
              </w:rPr>
              <w:t xml:space="preserve">In general, administrative and clerical salaries should still </w:t>
            </w:r>
            <w:r w:rsidRPr="00FE19DF">
              <w:rPr>
                <w:sz w:val="20"/>
                <w:u w:val="single"/>
              </w:rPr>
              <w:t>not</w:t>
            </w:r>
            <w:r w:rsidRPr="00FE19DF">
              <w:rPr>
                <w:sz w:val="20"/>
              </w:rPr>
              <w:t xml:space="preserve"> be directly charged. However, with the new Uniform Guidance, these salaries may be charged directly to a federal award if </w:t>
            </w:r>
            <w:proofErr w:type="gramStart"/>
            <w:r w:rsidRPr="00FE19DF">
              <w:rPr>
                <w:sz w:val="20"/>
                <w:u w:val="single"/>
              </w:rPr>
              <w:t>all</w:t>
            </w:r>
            <w:r w:rsidRPr="00FE19DF">
              <w:rPr>
                <w:sz w:val="20"/>
              </w:rPr>
              <w:t xml:space="preserve"> of</w:t>
            </w:r>
            <w:proofErr w:type="gramEnd"/>
            <w:r w:rsidRPr="00FE19DF">
              <w:rPr>
                <w:sz w:val="20"/>
              </w:rPr>
              <w:t xml:space="preserve"> the following criteria are met:</w:t>
            </w:r>
          </w:p>
          <w:p w14:paraId="05563451" w14:textId="77777777" w:rsidR="000F4CFF" w:rsidRPr="00FE19DF" w:rsidRDefault="00FE19DF">
            <w:pPr>
              <w:pStyle w:val="TableParagraph"/>
              <w:numPr>
                <w:ilvl w:val="0"/>
                <w:numId w:val="3"/>
              </w:numPr>
              <w:tabs>
                <w:tab w:val="left" w:pos="572"/>
              </w:tabs>
              <w:spacing w:line="244" w:lineRule="exact"/>
              <w:ind w:left="572" w:hanging="359"/>
              <w:jc w:val="both"/>
              <w:rPr>
                <w:sz w:val="20"/>
              </w:rPr>
            </w:pPr>
            <w:r w:rsidRPr="00FE19DF">
              <w:rPr>
                <w:sz w:val="20"/>
              </w:rPr>
              <w:t>Administrative</w:t>
            </w:r>
            <w:r w:rsidRPr="00FE19DF">
              <w:rPr>
                <w:spacing w:val="-5"/>
                <w:sz w:val="20"/>
              </w:rPr>
              <w:t xml:space="preserve"> </w:t>
            </w:r>
            <w:r w:rsidRPr="00FE19DF">
              <w:rPr>
                <w:sz w:val="20"/>
              </w:rPr>
              <w:t>or</w:t>
            </w:r>
            <w:r w:rsidRPr="00FE19DF">
              <w:rPr>
                <w:spacing w:val="-5"/>
                <w:sz w:val="20"/>
              </w:rPr>
              <w:t xml:space="preserve"> </w:t>
            </w:r>
            <w:r w:rsidRPr="00FE19DF">
              <w:rPr>
                <w:sz w:val="20"/>
              </w:rPr>
              <w:t>clerical</w:t>
            </w:r>
            <w:r w:rsidRPr="00FE19DF">
              <w:rPr>
                <w:spacing w:val="-4"/>
                <w:sz w:val="20"/>
              </w:rPr>
              <w:t xml:space="preserve"> </w:t>
            </w:r>
            <w:r w:rsidRPr="00FE19DF">
              <w:rPr>
                <w:sz w:val="20"/>
              </w:rPr>
              <w:t>services</w:t>
            </w:r>
            <w:r w:rsidRPr="00FE19DF">
              <w:rPr>
                <w:spacing w:val="-6"/>
                <w:sz w:val="20"/>
              </w:rPr>
              <w:t xml:space="preserve"> </w:t>
            </w:r>
            <w:r w:rsidRPr="00FE19DF">
              <w:rPr>
                <w:sz w:val="20"/>
              </w:rPr>
              <w:t>are</w:t>
            </w:r>
            <w:r w:rsidRPr="00FE19DF">
              <w:rPr>
                <w:spacing w:val="-5"/>
                <w:sz w:val="20"/>
              </w:rPr>
              <w:t xml:space="preserve"> </w:t>
            </w:r>
            <w:r w:rsidRPr="00FE19DF">
              <w:rPr>
                <w:sz w:val="20"/>
              </w:rPr>
              <w:t>integral</w:t>
            </w:r>
            <w:r w:rsidRPr="00FE19DF">
              <w:rPr>
                <w:spacing w:val="-4"/>
                <w:sz w:val="20"/>
              </w:rPr>
              <w:t xml:space="preserve"> </w:t>
            </w:r>
            <w:r w:rsidRPr="00FE19DF">
              <w:rPr>
                <w:sz w:val="20"/>
              </w:rPr>
              <w:t>to</w:t>
            </w:r>
            <w:r w:rsidRPr="00FE19DF">
              <w:rPr>
                <w:spacing w:val="-4"/>
                <w:sz w:val="20"/>
              </w:rPr>
              <w:t xml:space="preserve"> </w:t>
            </w:r>
            <w:r w:rsidRPr="00FE19DF">
              <w:rPr>
                <w:sz w:val="20"/>
              </w:rPr>
              <w:t>a</w:t>
            </w:r>
            <w:r w:rsidRPr="00FE19DF">
              <w:rPr>
                <w:spacing w:val="-5"/>
                <w:sz w:val="20"/>
              </w:rPr>
              <w:t xml:space="preserve"> </w:t>
            </w:r>
            <w:r w:rsidRPr="00FE19DF">
              <w:rPr>
                <w:sz w:val="20"/>
              </w:rPr>
              <w:t>project</w:t>
            </w:r>
            <w:r w:rsidRPr="00FE19DF">
              <w:rPr>
                <w:spacing w:val="-5"/>
                <w:sz w:val="20"/>
              </w:rPr>
              <w:t xml:space="preserve"> </w:t>
            </w:r>
            <w:r w:rsidRPr="00FE19DF">
              <w:rPr>
                <w:sz w:val="20"/>
              </w:rPr>
              <w:t>or</w:t>
            </w:r>
            <w:r w:rsidRPr="00FE19DF">
              <w:rPr>
                <w:spacing w:val="-7"/>
                <w:sz w:val="20"/>
              </w:rPr>
              <w:t xml:space="preserve"> </w:t>
            </w:r>
            <w:proofErr w:type="gramStart"/>
            <w:r w:rsidRPr="00FE19DF">
              <w:rPr>
                <w:spacing w:val="-2"/>
                <w:sz w:val="20"/>
              </w:rPr>
              <w:t>activity;</w:t>
            </w:r>
            <w:proofErr w:type="gramEnd"/>
          </w:p>
          <w:p w14:paraId="5721CB46" w14:textId="77777777" w:rsidR="000F4CFF" w:rsidRPr="00FE19DF" w:rsidRDefault="00FE19DF">
            <w:pPr>
              <w:pStyle w:val="TableParagraph"/>
              <w:numPr>
                <w:ilvl w:val="0"/>
                <w:numId w:val="3"/>
              </w:numPr>
              <w:tabs>
                <w:tab w:val="left" w:pos="572"/>
              </w:tabs>
              <w:spacing w:line="245" w:lineRule="exact"/>
              <w:ind w:left="572" w:hanging="359"/>
              <w:jc w:val="both"/>
              <w:rPr>
                <w:sz w:val="20"/>
              </w:rPr>
            </w:pPr>
            <w:r w:rsidRPr="00FE19DF">
              <w:rPr>
                <w:sz w:val="20"/>
              </w:rPr>
              <w:t>Individuals</w:t>
            </w:r>
            <w:r w:rsidRPr="00FE19DF">
              <w:rPr>
                <w:spacing w:val="-7"/>
                <w:sz w:val="20"/>
              </w:rPr>
              <w:t xml:space="preserve"> </w:t>
            </w:r>
            <w:r w:rsidRPr="00FE19DF">
              <w:rPr>
                <w:sz w:val="20"/>
              </w:rPr>
              <w:t>involved</w:t>
            </w:r>
            <w:r w:rsidRPr="00FE19DF">
              <w:rPr>
                <w:spacing w:val="-5"/>
                <w:sz w:val="20"/>
              </w:rPr>
              <w:t xml:space="preserve"> </w:t>
            </w:r>
            <w:r w:rsidRPr="00FE19DF">
              <w:rPr>
                <w:sz w:val="20"/>
              </w:rPr>
              <w:t>can</w:t>
            </w:r>
            <w:r w:rsidRPr="00FE19DF">
              <w:rPr>
                <w:spacing w:val="-6"/>
                <w:sz w:val="20"/>
              </w:rPr>
              <w:t xml:space="preserve"> </w:t>
            </w:r>
            <w:r w:rsidRPr="00FE19DF">
              <w:rPr>
                <w:sz w:val="20"/>
              </w:rPr>
              <w:t>be</w:t>
            </w:r>
            <w:r w:rsidRPr="00FE19DF">
              <w:rPr>
                <w:spacing w:val="-6"/>
                <w:sz w:val="20"/>
              </w:rPr>
              <w:t xml:space="preserve"> </w:t>
            </w:r>
            <w:r w:rsidRPr="00FE19DF">
              <w:rPr>
                <w:sz w:val="20"/>
              </w:rPr>
              <w:t>specifically</w:t>
            </w:r>
            <w:r w:rsidRPr="00FE19DF">
              <w:rPr>
                <w:spacing w:val="-6"/>
                <w:sz w:val="20"/>
              </w:rPr>
              <w:t xml:space="preserve"> </w:t>
            </w:r>
            <w:r w:rsidRPr="00FE19DF">
              <w:rPr>
                <w:sz w:val="20"/>
              </w:rPr>
              <w:t>identified</w:t>
            </w:r>
            <w:r w:rsidRPr="00FE19DF">
              <w:rPr>
                <w:spacing w:val="-3"/>
                <w:sz w:val="20"/>
              </w:rPr>
              <w:t xml:space="preserve"> </w:t>
            </w:r>
            <w:r w:rsidRPr="00FE19DF">
              <w:rPr>
                <w:sz w:val="20"/>
              </w:rPr>
              <w:t>with</w:t>
            </w:r>
            <w:r w:rsidRPr="00FE19DF">
              <w:rPr>
                <w:spacing w:val="-8"/>
                <w:sz w:val="20"/>
              </w:rPr>
              <w:t xml:space="preserve"> </w:t>
            </w:r>
            <w:r w:rsidRPr="00FE19DF">
              <w:rPr>
                <w:sz w:val="20"/>
              </w:rPr>
              <w:t>the</w:t>
            </w:r>
            <w:r w:rsidRPr="00FE19DF">
              <w:rPr>
                <w:spacing w:val="-5"/>
                <w:sz w:val="20"/>
              </w:rPr>
              <w:t xml:space="preserve"> </w:t>
            </w:r>
            <w:r w:rsidRPr="00FE19DF">
              <w:rPr>
                <w:sz w:val="20"/>
              </w:rPr>
              <w:t>project</w:t>
            </w:r>
            <w:r w:rsidRPr="00FE19DF">
              <w:rPr>
                <w:spacing w:val="-8"/>
                <w:sz w:val="20"/>
              </w:rPr>
              <w:t xml:space="preserve"> </w:t>
            </w:r>
            <w:r w:rsidRPr="00FE19DF">
              <w:rPr>
                <w:sz w:val="20"/>
              </w:rPr>
              <w:t>or</w:t>
            </w:r>
            <w:r w:rsidRPr="00FE19DF">
              <w:rPr>
                <w:spacing w:val="-6"/>
                <w:sz w:val="20"/>
              </w:rPr>
              <w:t xml:space="preserve"> </w:t>
            </w:r>
            <w:r w:rsidRPr="00FE19DF">
              <w:rPr>
                <w:sz w:val="20"/>
              </w:rPr>
              <w:t>activity;</w:t>
            </w:r>
            <w:r w:rsidRPr="00FE19DF">
              <w:rPr>
                <w:spacing w:val="3"/>
                <w:sz w:val="20"/>
              </w:rPr>
              <w:t xml:space="preserve"> </w:t>
            </w:r>
            <w:r w:rsidRPr="00FE19DF">
              <w:rPr>
                <w:spacing w:val="-5"/>
                <w:sz w:val="20"/>
              </w:rPr>
              <w:t>and</w:t>
            </w:r>
          </w:p>
          <w:p w14:paraId="46801555" w14:textId="77777777" w:rsidR="000F4CFF" w:rsidRPr="00FE19DF" w:rsidRDefault="00FE19DF">
            <w:pPr>
              <w:pStyle w:val="TableParagraph"/>
              <w:numPr>
                <w:ilvl w:val="0"/>
                <w:numId w:val="3"/>
              </w:numPr>
              <w:tabs>
                <w:tab w:val="left" w:pos="573"/>
              </w:tabs>
              <w:spacing w:before="2" w:line="237" w:lineRule="auto"/>
              <w:ind w:right="138"/>
              <w:jc w:val="both"/>
              <w:rPr>
                <w:sz w:val="20"/>
              </w:rPr>
            </w:pPr>
            <w:r w:rsidRPr="00FE19DF">
              <w:rPr>
                <w:sz w:val="20"/>
              </w:rPr>
              <w:t xml:space="preserve">Such costs are explicitly included in the budget or have </w:t>
            </w:r>
            <w:proofErr w:type="gramStart"/>
            <w:r w:rsidRPr="00FE19DF">
              <w:rPr>
                <w:sz w:val="20"/>
              </w:rPr>
              <w:t>the prior</w:t>
            </w:r>
            <w:proofErr w:type="gramEnd"/>
            <w:r w:rsidRPr="00FE19DF">
              <w:rPr>
                <w:sz w:val="20"/>
              </w:rPr>
              <w:t xml:space="preserve"> written approval of the federal awarding agency.</w:t>
            </w:r>
          </w:p>
          <w:p w14:paraId="3ABF3865" w14:textId="77777777" w:rsidR="000F4CFF" w:rsidRPr="00FE19DF" w:rsidRDefault="000F4CFF">
            <w:pPr>
              <w:pStyle w:val="TableParagraph"/>
              <w:spacing w:before="1"/>
              <w:ind w:left="0"/>
              <w:rPr>
                <w:sz w:val="20"/>
              </w:rPr>
            </w:pPr>
          </w:p>
          <w:p w14:paraId="54E33E5A" w14:textId="77777777" w:rsidR="000F4CFF" w:rsidRPr="00FE19DF" w:rsidRDefault="00FE19DF">
            <w:pPr>
              <w:pStyle w:val="TableParagraph"/>
              <w:ind w:left="213" w:right="140"/>
              <w:rPr>
                <w:sz w:val="20"/>
              </w:rPr>
            </w:pPr>
            <w:r w:rsidRPr="00FE19DF">
              <w:rPr>
                <w:sz w:val="20"/>
              </w:rPr>
              <w:t>If</w:t>
            </w:r>
            <w:r w:rsidRPr="00FE19DF">
              <w:rPr>
                <w:spacing w:val="-6"/>
                <w:sz w:val="20"/>
              </w:rPr>
              <w:t xml:space="preserve"> </w:t>
            </w:r>
            <w:proofErr w:type="gramStart"/>
            <w:r w:rsidRPr="00FE19DF">
              <w:rPr>
                <w:sz w:val="20"/>
              </w:rPr>
              <w:t>all</w:t>
            </w:r>
            <w:r w:rsidRPr="00FE19DF">
              <w:rPr>
                <w:spacing w:val="-4"/>
                <w:sz w:val="20"/>
              </w:rPr>
              <w:t xml:space="preserve"> </w:t>
            </w:r>
            <w:r w:rsidRPr="00FE19DF">
              <w:rPr>
                <w:sz w:val="20"/>
              </w:rPr>
              <w:t>of</w:t>
            </w:r>
            <w:proofErr w:type="gramEnd"/>
            <w:r w:rsidRPr="00FE19DF">
              <w:rPr>
                <w:spacing w:val="-6"/>
                <w:sz w:val="20"/>
              </w:rPr>
              <w:t xml:space="preserve"> </w:t>
            </w:r>
            <w:r w:rsidRPr="00FE19DF">
              <w:rPr>
                <w:sz w:val="20"/>
              </w:rPr>
              <w:t>these</w:t>
            </w:r>
            <w:r w:rsidRPr="00FE19DF">
              <w:rPr>
                <w:spacing w:val="-4"/>
                <w:sz w:val="20"/>
              </w:rPr>
              <w:t xml:space="preserve"> </w:t>
            </w:r>
            <w:r w:rsidRPr="00FE19DF">
              <w:rPr>
                <w:sz w:val="20"/>
              </w:rPr>
              <w:t>requirements</w:t>
            </w:r>
            <w:r w:rsidRPr="00FE19DF">
              <w:rPr>
                <w:spacing w:val="-5"/>
                <w:sz w:val="20"/>
              </w:rPr>
              <w:t xml:space="preserve"> </w:t>
            </w:r>
            <w:r w:rsidRPr="00FE19DF">
              <w:rPr>
                <w:sz w:val="20"/>
              </w:rPr>
              <w:t>are</w:t>
            </w:r>
            <w:r w:rsidRPr="00FE19DF">
              <w:rPr>
                <w:spacing w:val="-2"/>
                <w:sz w:val="20"/>
              </w:rPr>
              <w:t xml:space="preserve"> </w:t>
            </w:r>
            <w:r w:rsidRPr="00FE19DF">
              <w:rPr>
                <w:sz w:val="20"/>
              </w:rPr>
              <w:t>met,</w:t>
            </w:r>
            <w:r w:rsidRPr="00FE19DF">
              <w:rPr>
                <w:spacing w:val="-4"/>
                <w:sz w:val="20"/>
              </w:rPr>
              <w:t xml:space="preserve"> </w:t>
            </w:r>
            <w:r w:rsidRPr="00FE19DF">
              <w:rPr>
                <w:sz w:val="20"/>
              </w:rPr>
              <w:t>the</w:t>
            </w:r>
            <w:r w:rsidRPr="00FE19DF">
              <w:rPr>
                <w:spacing w:val="-4"/>
                <w:sz w:val="20"/>
              </w:rPr>
              <w:t xml:space="preserve"> </w:t>
            </w:r>
            <w:r w:rsidRPr="00FE19DF">
              <w:rPr>
                <w:sz w:val="20"/>
              </w:rPr>
              <w:t>PI/Department</w:t>
            </w:r>
            <w:r w:rsidRPr="00FE19DF">
              <w:rPr>
                <w:spacing w:val="-2"/>
                <w:sz w:val="20"/>
              </w:rPr>
              <w:t xml:space="preserve"> </w:t>
            </w:r>
            <w:r w:rsidRPr="00FE19DF">
              <w:rPr>
                <w:sz w:val="20"/>
              </w:rPr>
              <w:t>must</w:t>
            </w:r>
            <w:r w:rsidRPr="00FE19DF">
              <w:rPr>
                <w:spacing w:val="-2"/>
                <w:sz w:val="20"/>
              </w:rPr>
              <w:t xml:space="preserve"> </w:t>
            </w:r>
            <w:r w:rsidRPr="00FE19DF">
              <w:rPr>
                <w:sz w:val="20"/>
              </w:rPr>
              <w:t>include</w:t>
            </w:r>
            <w:r w:rsidRPr="00FE19DF">
              <w:rPr>
                <w:spacing w:val="-4"/>
                <w:sz w:val="20"/>
              </w:rPr>
              <w:t xml:space="preserve"> </w:t>
            </w:r>
            <w:r w:rsidRPr="00FE19DF">
              <w:rPr>
                <w:sz w:val="20"/>
              </w:rPr>
              <w:t>proper</w:t>
            </w:r>
            <w:r w:rsidRPr="00FE19DF">
              <w:rPr>
                <w:spacing w:val="-5"/>
                <w:sz w:val="20"/>
              </w:rPr>
              <w:t xml:space="preserve"> </w:t>
            </w:r>
            <w:r w:rsidRPr="00FE19DF">
              <w:rPr>
                <w:sz w:val="20"/>
              </w:rPr>
              <w:t>and</w:t>
            </w:r>
            <w:r w:rsidRPr="00FE19DF">
              <w:rPr>
                <w:spacing w:val="-3"/>
                <w:sz w:val="20"/>
              </w:rPr>
              <w:t xml:space="preserve"> </w:t>
            </w:r>
            <w:r w:rsidRPr="00FE19DF">
              <w:rPr>
                <w:sz w:val="20"/>
              </w:rPr>
              <w:t>sufficient justification of the proposed costs in the grant application. For National Institutes of Health (NIH) modular grants that do not require line-item budgets or justifications, justification for</w:t>
            </w:r>
            <w:r w:rsidRPr="00FE19DF">
              <w:rPr>
                <w:spacing w:val="-1"/>
                <w:sz w:val="20"/>
              </w:rPr>
              <w:t xml:space="preserve"> </w:t>
            </w:r>
            <w:r w:rsidRPr="00FE19DF">
              <w:rPr>
                <w:sz w:val="20"/>
              </w:rPr>
              <w:t>the</w:t>
            </w:r>
            <w:r w:rsidRPr="00FE19DF">
              <w:rPr>
                <w:spacing w:val="-1"/>
                <w:sz w:val="20"/>
              </w:rPr>
              <w:t xml:space="preserve"> </w:t>
            </w:r>
            <w:r w:rsidRPr="00FE19DF">
              <w:rPr>
                <w:sz w:val="20"/>
              </w:rPr>
              <w:t>inclusion of</w:t>
            </w:r>
            <w:r w:rsidRPr="00FE19DF">
              <w:rPr>
                <w:spacing w:val="-3"/>
                <w:sz w:val="20"/>
              </w:rPr>
              <w:t xml:space="preserve"> </w:t>
            </w:r>
            <w:r w:rsidRPr="00FE19DF">
              <w:rPr>
                <w:sz w:val="20"/>
              </w:rPr>
              <w:t>administrative</w:t>
            </w:r>
            <w:r w:rsidRPr="00FE19DF">
              <w:rPr>
                <w:spacing w:val="-1"/>
                <w:sz w:val="20"/>
              </w:rPr>
              <w:t xml:space="preserve"> </w:t>
            </w:r>
            <w:r w:rsidRPr="00FE19DF">
              <w:rPr>
                <w:sz w:val="20"/>
              </w:rPr>
              <w:t>and clerical</w:t>
            </w:r>
            <w:r w:rsidRPr="00FE19DF">
              <w:rPr>
                <w:spacing w:val="-1"/>
                <w:sz w:val="20"/>
              </w:rPr>
              <w:t xml:space="preserve"> </w:t>
            </w:r>
            <w:r w:rsidRPr="00FE19DF">
              <w:rPr>
                <w:sz w:val="20"/>
              </w:rPr>
              <w:t>salaries</w:t>
            </w:r>
            <w:r w:rsidRPr="00FE19DF">
              <w:rPr>
                <w:spacing w:val="-2"/>
                <w:sz w:val="20"/>
              </w:rPr>
              <w:t xml:space="preserve"> </w:t>
            </w:r>
            <w:r w:rsidRPr="00FE19DF">
              <w:rPr>
                <w:sz w:val="20"/>
              </w:rPr>
              <w:t>should be</w:t>
            </w:r>
            <w:r w:rsidRPr="00FE19DF">
              <w:rPr>
                <w:spacing w:val="-1"/>
                <w:sz w:val="20"/>
              </w:rPr>
              <w:t xml:space="preserve"> </w:t>
            </w:r>
            <w:r w:rsidRPr="00FE19DF">
              <w:rPr>
                <w:sz w:val="20"/>
              </w:rPr>
              <w:t xml:space="preserve">included in the required </w:t>
            </w:r>
            <w:r w:rsidRPr="00FE19DF">
              <w:rPr>
                <w:i/>
                <w:sz w:val="20"/>
              </w:rPr>
              <w:t>Personnel Justification</w:t>
            </w:r>
            <w:r w:rsidRPr="00FE19DF">
              <w:rPr>
                <w:sz w:val="20"/>
              </w:rPr>
              <w:t>.</w:t>
            </w:r>
          </w:p>
        </w:tc>
      </w:tr>
      <w:tr w:rsidR="00FE19DF" w:rsidRPr="00FE19DF" w14:paraId="084582DE" w14:textId="77777777">
        <w:trPr>
          <w:trHeight w:val="4644"/>
        </w:trPr>
        <w:tc>
          <w:tcPr>
            <w:tcW w:w="3080" w:type="dxa"/>
          </w:tcPr>
          <w:p w14:paraId="09C7E406" w14:textId="77777777" w:rsidR="000F4CFF" w:rsidRPr="00FE19DF" w:rsidRDefault="00FE19DF">
            <w:pPr>
              <w:pStyle w:val="TableParagraph"/>
              <w:spacing w:before="272"/>
              <w:ind w:left="215" w:right="203"/>
              <w:rPr>
                <w:b/>
                <w:sz w:val="24"/>
              </w:rPr>
            </w:pPr>
            <w:r w:rsidRPr="00FE19DF">
              <w:rPr>
                <w:b/>
                <w:sz w:val="24"/>
              </w:rPr>
              <w:t>COMPUTING</w:t>
            </w:r>
            <w:r w:rsidRPr="00FE19DF">
              <w:rPr>
                <w:b/>
                <w:spacing w:val="-15"/>
                <w:sz w:val="24"/>
              </w:rPr>
              <w:t xml:space="preserve"> </w:t>
            </w:r>
            <w:r w:rsidRPr="00FE19DF">
              <w:rPr>
                <w:b/>
                <w:sz w:val="24"/>
              </w:rPr>
              <w:t xml:space="preserve">DEVICES (UNDER $5,000 UNIT </w:t>
            </w:r>
            <w:r w:rsidRPr="00FE19DF">
              <w:rPr>
                <w:b/>
                <w:spacing w:val="-2"/>
                <w:sz w:val="24"/>
              </w:rPr>
              <w:t>COST)</w:t>
            </w:r>
          </w:p>
          <w:p w14:paraId="5483663D" w14:textId="77777777" w:rsidR="000F4CFF" w:rsidRPr="00FE19DF" w:rsidRDefault="00FE19DF">
            <w:pPr>
              <w:pStyle w:val="TableParagraph"/>
              <w:spacing w:before="232"/>
              <w:ind w:left="215"/>
              <w:rPr>
                <w:b/>
                <w:sz w:val="20"/>
              </w:rPr>
            </w:pPr>
            <w:r w:rsidRPr="00FE19DF">
              <w:rPr>
                <w:b/>
                <w:sz w:val="20"/>
              </w:rPr>
              <w:t>Applicable</w:t>
            </w:r>
            <w:r w:rsidRPr="00FE19DF">
              <w:rPr>
                <w:b/>
                <w:spacing w:val="-13"/>
                <w:sz w:val="20"/>
              </w:rPr>
              <w:t xml:space="preserve"> </w:t>
            </w:r>
            <w:r w:rsidRPr="00FE19DF">
              <w:rPr>
                <w:b/>
                <w:sz w:val="20"/>
              </w:rPr>
              <w:t>Uniform</w:t>
            </w:r>
            <w:r w:rsidRPr="00FE19DF">
              <w:rPr>
                <w:b/>
                <w:spacing w:val="-12"/>
                <w:sz w:val="20"/>
              </w:rPr>
              <w:t xml:space="preserve"> </w:t>
            </w:r>
            <w:r w:rsidRPr="00FE19DF">
              <w:rPr>
                <w:b/>
                <w:sz w:val="20"/>
              </w:rPr>
              <w:t xml:space="preserve">Guidance </w:t>
            </w:r>
            <w:r w:rsidRPr="00FE19DF">
              <w:rPr>
                <w:b/>
                <w:spacing w:val="-2"/>
                <w:sz w:val="20"/>
              </w:rPr>
              <w:t>sections:</w:t>
            </w:r>
          </w:p>
          <w:p w14:paraId="4FF60481" w14:textId="77777777" w:rsidR="000F4CFF" w:rsidRPr="00FE19DF" w:rsidRDefault="00FE19DF">
            <w:pPr>
              <w:pStyle w:val="TableParagraph"/>
              <w:spacing w:before="1"/>
              <w:ind w:left="215"/>
              <w:rPr>
                <w:b/>
                <w:sz w:val="20"/>
              </w:rPr>
            </w:pPr>
            <w:r w:rsidRPr="00FE19DF">
              <w:rPr>
                <w:b/>
                <w:spacing w:val="-2"/>
                <w:sz w:val="20"/>
              </w:rPr>
              <w:t>200.33</w:t>
            </w:r>
          </w:p>
          <w:p w14:paraId="2C17BA9B" w14:textId="77777777" w:rsidR="000F4CFF" w:rsidRPr="00FE19DF" w:rsidRDefault="00FE19DF">
            <w:pPr>
              <w:pStyle w:val="TableParagraph"/>
              <w:spacing w:before="1" w:line="229" w:lineRule="exact"/>
              <w:ind w:left="215"/>
              <w:rPr>
                <w:b/>
                <w:sz w:val="20"/>
              </w:rPr>
            </w:pPr>
            <w:r w:rsidRPr="00FE19DF">
              <w:rPr>
                <w:b/>
                <w:spacing w:val="-2"/>
                <w:sz w:val="20"/>
              </w:rPr>
              <w:t>200.48</w:t>
            </w:r>
          </w:p>
          <w:p w14:paraId="255E9BCF" w14:textId="77777777" w:rsidR="000F4CFF" w:rsidRPr="00FE19DF" w:rsidRDefault="00FE19DF">
            <w:pPr>
              <w:pStyle w:val="TableParagraph"/>
              <w:spacing w:line="229" w:lineRule="exact"/>
              <w:ind w:left="215"/>
              <w:rPr>
                <w:b/>
                <w:sz w:val="20"/>
              </w:rPr>
            </w:pPr>
            <w:r w:rsidRPr="00FE19DF">
              <w:rPr>
                <w:b/>
                <w:spacing w:val="-2"/>
                <w:sz w:val="20"/>
              </w:rPr>
              <w:t>200.89</w:t>
            </w:r>
          </w:p>
          <w:p w14:paraId="398C2353" w14:textId="77777777" w:rsidR="000F4CFF" w:rsidRPr="00FE19DF" w:rsidRDefault="00FE19DF">
            <w:pPr>
              <w:pStyle w:val="TableParagraph"/>
              <w:ind w:left="215"/>
              <w:rPr>
                <w:b/>
                <w:sz w:val="20"/>
              </w:rPr>
            </w:pPr>
            <w:r w:rsidRPr="00FE19DF">
              <w:rPr>
                <w:b/>
                <w:spacing w:val="-2"/>
                <w:sz w:val="20"/>
              </w:rPr>
              <w:t>200.439</w:t>
            </w:r>
          </w:p>
          <w:p w14:paraId="5033F9CC" w14:textId="77777777" w:rsidR="000F4CFF" w:rsidRPr="00FE19DF" w:rsidRDefault="00FE19DF">
            <w:pPr>
              <w:pStyle w:val="TableParagraph"/>
              <w:spacing w:before="1"/>
              <w:ind w:left="215"/>
              <w:rPr>
                <w:b/>
                <w:sz w:val="20"/>
              </w:rPr>
            </w:pPr>
            <w:r w:rsidRPr="00FE19DF">
              <w:rPr>
                <w:b/>
                <w:spacing w:val="-2"/>
                <w:sz w:val="20"/>
              </w:rPr>
              <w:t>200.453C</w:t>
            </w:r>
          </w:p>
        </w:tc>
        <w:tc>
          <w:tcPr>
            <w:tcW w:w="7592" w:type="dxa"/>
          </w:tcPr>
          <w:p w14:paraId="7502EE5C" w14:textId="77777777" w:rsidR="000F4CFF" w:rsidRPr="00FE19DF" w:rsidRDefault="00FE19DF">
            <w:pPr>
              <w:pStyle w:val="TableParagraph"/>
              <w:spacing w:line="228" w:lineRule="exact"/>
              <w:ind w:left="213"/>
              <w:jc w:val="both"/>
              <w:rPr>
                <w:b/>
                <w:sz w:val="20"/>
              </w:rPr>
            </w:pPr>
            <w:r w:rsidRPr="00FE19DF">
              <w:rPr>
                <w:b/>
                <w:sz w:val="20"/>
              </w:rPr>
              <w:t>Computing</w:t>
            </w:r>
            <w:r w:rsidRPr="00FE19DF">
              <w:rPr>
                <w:b/>
                <w:spacing w:val="-5"/>
                <w:sz w:val="20"/>
              </w:rPr>
              <w:t xml:space="preserve"> </w:t>
            </w:r>
            <w:r w:rsidRPr="00FE19DF">
              <w:rPr>
                <w:b/>
                <w:sz w:val="20"/>
              </w:rPr>
              <w:t>devices</w:t>
            </w:r>
            <w:r w:rsidRPr="00FE19DF">
              <w:rPr>
                <w:b/>
                <w:spacing w:val="-6"/>
                <w:sz w:val="20"/>
              </w:rPr>
              <w:t xml:space="preserve"> </w:t>
            </w:r>
            <w:r w:rsidRPr="00FE19DF">
              <w:rPr>
                <w:b/>
                <w:sz w:val="20"/>
              </w:rPr>
              <w:t>can</w:t>
            </w:r>
            <w:r w:rsidRPr="00FE19DF">
              <w:rPr>
                <w:b/>
                <w:spacing w:val="-6"/>
                <w:sz w:val="20"/>
              </w:rPr>
              <w:t xml:space="preserve"> </w:t>
            </w:r>
            <w:r w:rsidRPr="00FE19DF">
              <w:rPr>
                <w:b/>
                <w:sz w:val="20"/>
              </w:rPr>
              <w:t>be</w:t>
            </w:r>
            <w:r w:rsidRPr="00FE19DF">
              <w:rPr>
                <w:b/>
                <w:spacing w:val="-5"/>
                <w:sz w:val="20"/>
              </w:rPr>
              <w:t xml:space="preserve"> </w:t>
            </w:r>
            <w:r w:rsidRPr="00FE19DF">
              <w:rPr>
                <w:b/>
                <w:sz w:val="20"/>
              </w:rPr>
              <w:t>included</w:t>
            </w:r>
            <w:r w:rsidRPr="00FE19DF">
              <w:rPr>
                <w:b/>
                <w:spacing w:val="-6"/>
                <w:sz w:val="20"/>
              </w:rPr>
              <w:t xml:space="preserve"> </w:t>
            </w:r>
            <w:proofErr w:type="gramStart"/>
            <w:r w:rsidRPr="00FE19DF">
              <w:rPr>
                <w:b/>
                <w:sz w:val="20"/>
              </w:rPr>
              <w:t>on</w:t>
            </w:r>
            <w:proofErr w:type="gramEnd"/>
            <w:r w:rsidRPr="00FE19DF">
              <w:rPr>
                <w:b/>
                <w:spacing w:val="-6"/>
                <w:sz w:val="20"/>
              </w:rPr>
              <w:t xml:space="preserve"> </w:t>
            </w:r>
            <w:r w:rsidRPr="00FE19DF">
              <w:rPr>
                <w:b/>
                <w:sz w:val="20"/>
              </w:rPr>
              <w:t>competitive</w:t>
            </w:r>
            <w:r w:rsidRPr="00FE19DF">
              <w:rPr>
                <w:b/>
                <w:spacing w:val="-5"/>
                <w:sz w:val="20"/>
              </w:rPr>
              <w:t xml:space="preserve"> </w:t>
            </w:r>
            <w:r w:rsidRPr="00FE19DF">
              <w:rPr>
                <w:b/>
                <w:sz w:val="20"/>
              </w:rPr>
              <w:t>proposal</w:t>
            </w:r>
            <w:r w:rsidRPr="00FE19DF">
              <w:rPr>
                <w:b/>
                <w:spacing w:val="-6"/>
                <w:sz w:val="20"/>
              </w:rPr>
              <w:t xml:space="preserve"> </w:t>
            </w:r>
            <w:r w:rsidRPr="00FE19DF">
              <w:rPr>
                <w:b/>
                <w:spacing w:val="-2"/>
                <w:sz w:val="20"/>
              </w:rPr>
              <w:t>budgets.</w:t>
            </w:r>
          </w:p>
          <w:p w14:paraId="0C7F24CE" w14:textId="77777777" w:rsidR="000F4CFF" w:rsidRPr="00FE19DF" w:rsidRDefault="00FE19DF">
            <w:pPr>
              <w:pStyle w:val="TableParagraph"/>
              <w:spacing w:before="226"/>
              <w:ind w:left="213" w:right="130"/>
              <w:jc w:val="both"/>
              <w:rPr>
                <w:sz w:val="20"/>
              </w:rPr>
            </w:pPr>
            <w:r w:rsidRPr="00FE19DF">
              <w:rPr>
                <w:sz w:val="20"/>
              </w:rPr>
              <w:t>Computing devices under $5,000 per unit may be directly charged to the project or</w:t>
            </w:r>
            <w:r w:rsidRPr="00FE19DF">
              <w:rPr>
                <w:spacing w:val="40"/>
                <w:sz w:val="20"/>
              </w:rPr>
              <w:t xml:space="preserve"> </w:t>
            </w:r>
            <w:r w:rsidRPr="00FE19DF">
              <w:rPr>
                <w:sz w:val="20"/>
              </w:rPr>
              <w:t>activity under the following circumstances:</w:t>
            </w:r>
          </w:p>
          <w:p w14:paraId="04B39D2D" w14:textId="77777777" w:rsidR="000F4CFF" w:rsidRPr="00FE19DF" w:rsidRDefault="00FE19DF">
            <w:pPr>
              <w:pStyle w:val="TableParagraph"/>
              <w:numPr>
                <w:ilvl w:val="0"/>
                <w:numId w:val="2"/>
              </w:numPr>
              <w:tabs>
                <w:tab w:val="left" w:pos="573"/>
              </w:tabs>
              <w:spacing w:before="1"/>
              <w:ind w:right="135"/>
              <w:jc w:val="both"/>
              <w:rPr>
                <w:sz w:val="20"/>
              </w:rPr>
            </w:pPr>
            <w:r w:rsidRPr="00FE19DF">
              <w:rPr>
                <w:sz w:val="20"/>
              </w:rPr>
              <w:t xml:space="preserve">The computing devices are </w:t>
            </w:r>
            <w:r w:rsidRPr="00FE19DF">
              <w:rPr>
                <w:sz w:val="20"/>
                <w:u w:val="single"/>
              </w:rPr>
              <w:t>essential</w:t>
            </w:r>
            <w:r w:rsidRPr="00FE19DF">
              <w:rPr>
                <w:sz w:val="20"/>
              </w:rPr>
              <w:t>* and allocable to the project in that they are necessary to acquire, store, analyze, process, and publish data and other information electronically, including accessories (or “peripherals”) for printing, transmitting and receiving, or storing electronic information.</w:t>
            </w:r>
          </w:p>
          <w:p w14:paraId="79A16C82" w14:textId="77777777" w:rsidR="000F4CFF" w:rsidRPr="00FE19DF" w:rsidRDefault="00FE19DF">
            <w:pPr>
              <w:pStyle w:val="TableParagraph"/>
              <w:numPr>
                <w:ilvl w:val="0"/>
                <w:numId w:val="2"/>
              </w:numPr>
              <w:tabs>
                <w:tab w:val="left" w:pos="573"/>
              </w:tabs>
              <w:ind w:right="138"/>
              <w:jc w:val="both"/>
              <w:rPr>
                <w:sz w:val="20"/>
              </w:rPr>
            </w:pPr>
            <w:r w:rsidRPr="00FE19DF">
              <w:rPr>
                <w:sz w:val="20"/>
              </w:rPr>
              <w:t>The project does not have reasonable access to other devices or equipment that can achieve the same purpose; devices may not be purchased for reasons of convenience or preference.</w:t>
            </w:r>
          </w:p>
          <w:p w14:paraId="40CCBB07" w14:textId="77777777" w:rsidR="000F4CFF" w:rsidRPr="00FE19DF" w:rsidRDefault="00FE19DF">
            <w:pPr>
              <w:pStyle w:val="TableParagraph"/>
              <w:numPr>
                <w:ilvl w:val="0"/>
                <w:numId w:val="2"/>
              </w:numPr>
              <w:tabs>
                <w:tab w:val="left" w:pos="573"/>
              </w:tabs>
              <w:ind w:right="130"/>
              <w:jc w:val="both"/>
              <w:rPr>
                <w:sz w:val="20"/>
              </w:rPr>
            </w:pPr>
            <w:r w:rsidRPr="00FE19DF">
              <w:rPr>
                <w:sz w:val="20"/>
              </w:rPr>
              <w:t>Items costing more than $5,000 per unit are considered equipment and follow federal equipment rules for when they can be directly charged (see sections 200.33, 200.48, 200.89, 200.439).</w:t>
            </w:r>
          </w:p>
          <w:p w14:paraId="092FC281" w14:textId="77777777" w:rsidR="000F4CFF" w:rsidRPr="00FE19DF" w:rsidRDefault="00FE19DF">
            <w:pPr>
              <w:pStyle w:val="TableParagraph"/>
              <w:spacing w:before="228"/>
              <w:ind w:left="213" w:right="133"/>
              <w:jc w:val="both"/>
              <w:rPr>
                <w:sz w:val="20"/>
              </w:rPr>
            </w:pPr>
            <w:r w:rsidRPr="00FE19DF">
              <w:rPr>
                <w:sz w:val="20"/>
              </w:rPr>
              <w:t>*PIs are responsible for determining whether the device is “essential” and to what extent the cost of the device is allocable to the sponsored project. PIs/Departments should maintain documentation that describes how the proposed computing device meets the above requirements.</w:t>
            </w:r>
          </w:p>
        </w:tc>
      </w:tr>
      <w:tr w:rsidR="000F4CFF" w:rsidRPr="00FE19DF" w14:paraId="4B846DB9" w14:textId="77777777">
        <w:trPr>
          <w:trHeight w:val="2778"/>
        </w:trPr>
        <w:tc>
          <w:tcPr>
            <w:tcW w:w="3080" w:type="dxa"/>
          </w:tcPr>
          <w:p w14:paraId="6DBA345F" w14:textId="77777777" w:rsidR="000F4CFF" w:rsidRPr="00FE19DF" w:rsidRDefault="00FE19DF">
            <w:pPr>
              <w:pStyle w:val="TableParagraph"/>
              <w:spacing w:before="272"/>
              <w:ind w:right="111"/>
              <w:rPr>
                <w:b/>
                <w:sz w:val="24"/>
              </w:rPr>
            </w:pPr>
            <w:r w:rsidRPr="00FE19DF">
              <w:rPr>
                <w:b/>
                <w:sz w:val="24"/>
              </w:rPr>
              <w:t>PARTICIPANT</w:t>
            </w:r>
            <w:r w:rsidRPr="00FE19DF">
              <w:rPr>
                <w:b/>
                <w:spacing w:val="-15"/>
                <w:sz w:val="24"/>
              </w:rPr>
              <w:t xml:space="preserve"> </w:t>
            </w:r>
            <w:r w:rsidRPr="00FE19DF">
              <w:rPr>
                <w:b/>
                <w:sz w:val="24"/>
              </w:rPr>
              <w:t xml:space="preserve">SUPPORT </w:t>
            </w:r>
            <w:r w:rsidRPr="00FE19DF">
              <w:rPr>
                <w:b/>
                <w:spacing w:val="-2"/>
                <w:sz w:val="24"/>
              </w:rPr>
              <w:t>COSTS</w:t>
            </w:r>
          </w:p>
          <w:p w14:paraId="1B78036B" w14:textId="77777777" w:rsidR="000F4CFF" w:rsidRPr="00FE19DF" w:rsidRDefault="000F4CFF">
            <w:pPr>
              <w:pStyle w:val="TableParagraph"/>
              <w:spacing w:before="1"/>
              <w:ind w:left="0"/>
              <w:rPr>
                <w:sz w:val="24"/>
              </w:rPr>
            </w:pPr>
          </w:p>
          <w:p w14:paraId="6627F0B7" w14:textId="77777777" w:rsidR="000F4CFF" w:rsidRPr="00FE19DF" w:rsidRDefault="00FE19DF">
            <w:pPr>
              <w:pStyle w:val="TableParagraph"/>
              <w:spacing w:before="1"/>
              <w:rPr>
                <w:b/>
                <w:sz w:val="20"/>
              </w:rPr>
            </w:pPr>
            <w:r w:rsidRPr="00FE19DF">
              <w:rPr>
                <w:b/>
                <w:sz w:val="20"/>
              </w:rPr>
              <w:t>Applicable</w:t>
            </w:r>
            <w:r w:rsidRPr="00FE19DF">
              <w:rPr>
                <w:b/>
                <w:spacing w:val="-13"/>
                <w:sz w:val="20"/>
              </w:rPr>
              <w:t xml:space="preserve"> </w:t>
            </w:r>
            <w:r w:rsidRPr="00FE19DF">
              <w:rPr>
                <w:b/>
                <w:sz w:val="20"/>
              </w:rPr>
              <w:t>Uniform</w:t>
            </w:r>
            <w:r w:rsidRPr="00FE19DF">
              <w:rPr>
                <w:b/>
                <w:spacing w:val="-12"/>
                <w:sz w:val="20"/>
              </w:rPr>
              <w:t xml:space="preserve"> </w:t>
            </w:r>
            <w:r w:rsidRPr="00FE19DF">
              <w:rPr>
                <w:b/>
                <w:sz w:val="20"/>
              </w:rPr>
              <w:t xml:space="preserve">Guidance </w:t>
            </w:r>
            <w:r w:rsidRPr="00FE19DF">
              <w:rPr>
                <w:b/>
                <w:spacing w:val="-2"/>
                <w:sz w:val="20"/>
              </w:rPr>
              <w:t>sections:</w:t>
            </w:r>
          </w:p>
          <w:p w14:paraId="254A9C4F" w14:textId="77777777" w:rsidR="000F4CFF" w:rsidRPr="00FE19DF" w:rsidRDefault="00FE19DF">
            <w:pPr>
              <w:pStyle w:val="TableParagraph"/>
              <w:spacing w:line="228" w:lineRule="exact"/>
              <w:rPr>
                <w:b/>
                <w:sz w:val="20"/>
              </w:rPr>
            </w:pPr>
            <w:r w:rsidRPr="00FE19DF">
              <w:rPr>
                <w:b/>
                <w:spacing w:val="-2"/>
                <w:sz w:val="20"/>
              </w:rPr>
              <w:t>200.75</w:t>
            </w:r>
          </w:p>
          <w:p w14:paraId="3A5B57E5" w14:textId="77777777" w:rsidR="000F4CFF" w:rsidRPr="00FE19DF" w:rsidRDefault="00FE19DF">
            <w:pPr>
              <w:pStyle w:val="TableParagraph"/>
              <w:spacing w:before="1"/>
              <w:rPr>
                <w:rFonts w:ascii="Calibri"/>
                <w:b/>
                <w:sz w:val="20"/>
              </w:rPr>
            </w:pPr>
            <w:r w:rsidRPr="00FE19DF">
              <w:rPr>
                <w:rFonts w:ascii="Calibri"/>
                <w:b/>
                <w:spacing w:val="-2"/>
                <w:sz w:val="20"/>
              </w:rPr>
              <w:t>200.456</w:t>
            </w:r>
          </w:p>
        </w:tc>
        <w:tc>
          <w:tcPr>
            <w:tcW w:w="7592" w:type="dxa"/>
          </w:tcPr>
          <w:p w14:paraId="5D47B3D2" w14:textId="77777777" w:rsidR="000F4CFF" w:rsidRPr="00FE19DF" w:rsidRDefault="00FE19DF">
            <w:pPr>
              <w:pStyle w:val="TableParagraph"/>
              <w:ind w:left="105" w:right="103"/>
              <w:jc w:val="both"/>
              <w:rPr>
                <w:b/>
                <w:sz w:val="20"/>
              </w:rPr>
            </w:pPr>
            <w:r w:rsidRPr="00FE19DF">
              <w:rPr>
                <w:b/>
                <w:sz w:val="20"/>
              </w:rPr>
              <w:t>Participant support costs can be included for agency approval on competitive</w:t>
            </w:r>
            <w:r w:rsidRPr="00FE19DF">
              <w:rPr>
                <w:b/>
                <w:spacing w:val="40"/>
                <w:sz w:val="20"/>
              </w:rPr>
              <w:t xml:space="preserve"> </w:t>
            </w:r>
            <w:r w:rsidRPr="00FE19DF">
              <w:rPr>
                <w:b/>
                <w:sz w:val="20"/>
              </w:rPr>
              <w:t>proposal budgets.</w:t>
            </w:r>
          </w:p>
          <w:p w14:paraId="22CA7202" w14:textId="77777777" w:rsidR="000F4CFF" w:rsidRPr="00FE19DF" w:rsidRDefault="00FE19DF">
            <w:pPr>
              <w:pStyle w:val="TableParagraph"/>
              <w:spacing w:before="222"/>
              <w:ind w:left="105" w:right="96"/>
              <w:jc w:val="both"/>
              <w:rPr>
                <w:sz w:val="20"/>
              </w:rPr>
            </w:pPr>
            <w:r w:rsidRPr="00FE19DF">
              <w:rPr>
                <w:sz w:val="20"/>
              </w:rPr>
              <w:t>Participant support costs (see 200.75) are allowable with agency prior approval. This includes stipends or subsistence allowances, travel allowances, and registration fees paid to or on behalf of participants or trainees (but not employees) in connection with conferences or training projects. Participant support costs are not routinely allowed on research projects but can be charged if the project includes an education or outreach component and the agency approves such costs. These costs should be explicitl</w:t>
            </w:r>
            <w:r w:rsidRPr="00FE19DF">
              <w:rPr>
                <w:sz w:val="20"/>
              </w:rPr>
              <w:t>y listed in the proposal budget</w:t>
            </w:r>
            <w:r w:rsidRPr="00FE19DF">
              <w:rPr>
                <w:spacing w:val="40"/>
                <w:sz w:val="20"/>
              </w:rPr>
              <w:t xml:space="preserve"> </w:t>
            </w:r>
            <w:r w:rsidRPr="00FE19DF">
              <w:rPr>
                <w:sz w:val="20"/>
              </w:rPr>
              <w:t>or approved by the funding agency after the award has been made.</w:t>
            </w:r>
          </w:p>
        </w:tc>
      </w:tr>
    </w:tbl>
    <w:p w14:paraId="3272387C" w14:textId="77777777" w:rsidR="000F4CFF" w:rsidRPr="00FE19DF" w:rsidRDefault="000F4CFF">
      <w:pPr>
        <w:pStyle w:val="TableParagraph"/>
        <w:jc w:val="both"/>
        <w:rPr>
          <w:sz w:val="20"/>
        </w:rPr>
        <w:sectPr w:rsidR="000F4CFF" w:rsidRPr="00FE19DF">
          <w:type w:val="continuous"/>
          <w:pgSz w:w="12240" w:h="15840"/>
          <w:pgMar w:top="80" w:right="720" w:bottom="280" w:left="360" w:header="720" w:footer="720" w:gutter="0"/>
          <w:cols w:space="720"/>
        </w:sectPr>
      </w:pPr>
    </w:p>
    <w:p w14:paraId="62EDC490" w14:textId="77777777" w:rsidR="000F4CFF" w:rsidRPr="00FE19DF" w:rsidRDefault="00FE19DF">
      <w:pPr>
        <w:pStyle w:val="BodyText"/>
      </w:pPr>
      <w:r w:rsidRPr="00FE19DF">
        <w:rPr>
          <w:noProof/>
        </w:rPr>
        <w:lastRenderedPageBreak/>
        <w:drawing>
          <wp:anchor distT="0" distB="0" distL="0" distR="0" simplePos="0" relativeHeight="251659776" behindDoc="1" locked="0" layoutInCell="1" allowOverlap="1" wp14:anchorId="654A2D01" wp14:editId="64023783">
            <wp:simplePos x="0" y="0"/>
            <wp:positionH relativeFrom="page">
              <wp:posOffset>114876</wp:posOffset>
            </wp:positionH>
            <wp:positionV relativeFrom="page">
              <wp:posOffset>51267</wp:posOffset>
            </wp:positionV>
            <wp:extent cx="3581376" cy="952500"/>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3581376" cy="952500"/>
                    </a:xfrm>
                    <a:prstGeom prst="rect">
                      <a:avLst/>
                    </a:prstGeom>
                  </pic:spPr>
                </pic:pic>
              </a:graphicData>
            </a:graphic>
          </wp:anchor>
        </w:drawing>
      </w:r>
    </w:p>
    <w:p w14:paraId="569AA825" w14:textId="77777777" w:rsidR="000F4CFF" w:rsidRPr="00FE19DF" w:rsidRDefault="000F4CFF">
      <w:pPr>
        <w:pStyle w:val="BodyText"/>
      </w:pPr>
    </w:p>
    <w:p w14:paraId="0631797F" w14:textId="77777777" w:rsidR="000F4CFF" w:rsidRPr="00FE19DF" w:rsidRDefault="000F4CFF">
      <w:pPr>
        <w:pStyle w:val="BodyText"/>
      </w:pPr>
    </w:p>
    <w:p w14:paraId="330EBFC0" w14:textId="77777777" w:rsidR="000F4CFF" w:rsidRPr="00FE19DF" w:rsidRDefault="000F4CFF">
      <w:pPr>
        <w:pStyle w:val="BodyText"/>
      </w:pPr>
    </w:p>
    <w:p w14:paraId="57DEEE95" w14:textId="77777777" w:rsidR="000F4CFF" w:rsidRPr="00FE19DF" w:rsidRDefault="000F4CFF">
      <w:pPr>
        <w:pStyle w:val="BodyText"/>
      </w:pPr>
    </w:p>
    <w:p w14:paraId="1E73AF0F" w14:textId="77777777" w:rsidR="000F4CFF" w:rsidRPr="00FE19DF" w:rsidRDefault="000F4CFF">
      <w:pPr>
        <w:pStyle w:val="BodyText"/>
        <w:spacing w:before="47"/>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7592"/>
      </w:tblGrid>
      <w:tr w:rsidR="00FE19DF" w:rsidRPr="00FE19DF" w14:paraId="105C8B43" w14:textId="77777777">
        <w:trPr>
          <w:trHeight w:val="2760"/>
        </w:trPr>
        <w:tc>
          <w:tcPr>
            <w:tcW w:w="3080" w:type="dxa"/>
          </w:tcPr>
          <w:p w14:paraId="570F9FA0" w14:textId="77777777" w:rsidR="000F4CFF" w:rsidRPr="00FE19DF" w:rsidRDefault="00FE19DF">
            <w:pPr>
              <w:pStyle w:val="TableParagraph"/>
              <w:spacing w:before="273"/>
              <w:rPr>
                <w:b/>
                <w:sz w:val="24"/>
              </w:rPr>
            </w:pPr>
            <w:r w:rsidRPr="00FE19DF">
              <w:rPr>
                <w:b/>
                <w:sz w:val="24"/>
              </w:rPr>
              <w:t xml:space="preserve">VISA </w:t>
            </w:r>
            <w:r w:rsidRPr="00FE19DF">
              <w:rPr>
                <w:b/>
                <w:spacing w:val="-2"/>
                <w:sz w:val="24"/>
              </w:rPr>
              <w:t>COSTS</w:t>
            </w:r>
          </w:p>
          <w:p w14:paraId="0D6B9A6A" w14:textId="77777777" w:rsidR="000F4CFF" w:rsidRPr="00FE19DF" w:rsidRDefault="000F4CFF">
            <w:pPr>
              <w:pStyle w:val="TableParagraph"/>
              <w:spacing w:before="1"/>
              <w:ind w:left="0"/>
              <w:rPr>
                <w:sz w:val="24"/>
              </w:rPr>
            </w:pPr>
          </w:p>
          <w:p w14:paraId="740F8D73" w14:textId="77777777" w:rsidR="000F4CFF" w:rsidRPr="00FE19DF" w:rsidRDefault="00FE19DF">
            <w:pPr>
              <w:pStyle w:val="TableParagraph"/>
              <w:rPr>
                <w:b/>
                <w:sz w:val="20"/>
              </w:rPr>
            </w:pPr>
            <w:r w:rsidRPr="00FE19DF">
              <w:rPr>
                <w:b/>
                <w:sz w:val="20"/>
              </w:rPr>
              <w:t>Applicable</w:t>
            </w:r>
            <w:r w:rsidRPr="00FE19DF">
              <w:rPr>
                <w:b/>
                <w:spacing w:val="-13"/>
                <w:sz w:val="20"/>
              </w:rPr>
              <w:t xml:space="preserve"> </w:t>
            </w:r>
            <w:r w:rsidRPr="00FE19DF">
              <w:rPr>
                <w:b/>
                <w:sz w:val="20"/>
              </w:rPr>
              <w:t>Uniform</w:t>
            </w:r>
            <w:r w:rsidRPr="00FE19DF">
              <w:rPr>
                <w:b/>
                <w:spacing w:val="-12"/>
                <w:sz w:val="20"/>
              </w:rPr>
              <w:t xml:space="preserve"> </w:t>
            </w:r>
            <w:r w:rsidRPr="00FE19DF">
              <w:rPr>
                <w:b/>
                <w:sz w:val="20"/>
              </w:rPr>
              <w:t xml:space="preserve">Guidance </w:t>
            </w:r>
            <w:r w:rsidRPr="00FE19DF">
              <w:rPr>
                <w:b/>
                <w:spacing w:val="-2"/>
                <w:sz w:val="20"/>
              </w:rPr>
              <w:t>section:</w:t>
            </w:r>
          </w:p>
          <w:p w14:paraId="13B276C8" w14:textId="77777777" w:rsidR="000F4CFF" w:rsidRPr="00FE19DF" w:rsidRDefault="00FE19DF">
            <w:pPr>
              <w:pStyle w:val="TableParagraph"/>
              <w:spacing w:before="2"/>
              <w:rPr>
                <w:rFonts w:ascii="Calibri"/>
                <w:b/>
                <w:sz w:val="20"/>
              </w:rPr>
            </w:pPr>
            <w:r w:rsidRPr="00FE19DF">
              <w:rPr>
                <w:rFonts w:ascii="Calibri"/>
                <w:b/>
                <w:spacing w:val="-2"/>
                <w:sz w:val="20"/>
              </w:rPr>
              <w:t>200.463D</w:t>
            </w:r>
          </w:p>
        </w:tc>
        <w:tc>
          <w:tcPr>
            <w:tcW w:w="7592" w:type="dxa"/>
          </w:tcPr>
          <w:p w14:paraId="40838FD4" w14:textId="77777777" w:rsidR="000F4CFF" w:rsidRPr="00FE19DF" w:rsidRDefault="00FE19DF">
            <w:pPr>
              <w:pStyle w:val="TableParagraph"/>
              <w:spacing w:line="228" w:lineRule="exact"/>
              <w:ind w:left="105"/>
              <w:jc w:val="both"/>
              <w:rPr>
                <w:b/>
                <w:sz w:val="20"/>
              </w:rPr>
            </w:pPr>
            <w:r w:rsidRPr="00FE19DF">
              <w:rPr>
                <w:b/>
                <w:sz w:val="20"/>
              </w:rPr>
              <w:t>Short-term</w:t>
            </w:r>
            <w:r w:rsidRPr="00FE19DF">
              <w:rPr>
                <w:b/>
                <w:spacing w:val="-9"/>
                <w:sz w:val="20"/>
              </w:rPr>
              <w:t xml:space="preserve"> </w:t>
            </w:r>
            <w:r w:rsidRPr="00FE19DF">
              <w:rPr>
                <w:b/>
                <w:sz w:val="20"/>
              </w:rPr>
              <w:t>travel</w:t>
            </w:r>
            <w:r w:rsidRPr="00FE19DF">
              <w:rPr>
                <w:b/>
                <w:spacing w:val="-5"/>
                <w:sz w:val="20"/>
              </w:rPr>
              <w:t xml:space="preserve"> </w:t>
            </w:r>
            <w:r w:rsidRPr="00FE19DF">
              <w:rPr>
                <w:b/>
                <w:sz w:val="20"/>
              </w:rPr>
              <w:t>visa</w:t>
            </w:r>
            <w:r w:rsidRPr="00FE19DF">
              <w:rPr>
                <w:b/>
                <w:spacing w:val="-3"/>
                <w:sz w:val="20"/>
              </w:rPr>
              <w:t xml:space="preserve"> </w:t>
            </w:r>
            <w:r w:rsidRPr="00FE19DF">
              <w:rPr>
                <w:b/>
                <w:sz w:val="20"/>
              </w:rPr>
              <w:t>costs</w:t>
            </w:r>
            <w:r w:rsidRPr="00FE19DF">
              <w:rPr>
                <w:b/>
                <w:spacing w:val="-5"/>
                <w:sz w:val="20"/>
              </w:rPr>
              <w:t xml:space="preserve"> </w:t>
            </w:r>
            <w:r w:rsidRPr="00FE19DF">
              <w:rPr>
                <w:b/>
                <w:sz w:val="20"/>
              </w:rPr>
              <w:t>can</w:t>
            </w:r>
            <w:r w:rsidRPr="00FE19DF">
              <w:rPr>
                <w:b/>
                <w:spacing w:val="-5"/>
                <w:sz w:val="20"/>
              </w:rPr>
              <w:t xml:space="preserve"> </w:t>
            </w:r>
            <w:r w:rsidRPr="00FE19DF">
              <w:rPr>
                <w:b/>
                <w:sz w:val="20"/>
              </w:rPr>
              <w:t>be</w:t>
            </w:r>
            <w:r w:rsidRPr="00FE19DF">
              <w:rPr>
                <w:b/>
                <w:spacing w:val="-5"/>
                <w:sz w:val="20"/>
              </w:rPr>
              <w:t xml:space="preserve"> </w:t>
            </w:r>
            <w:r w:rsidRPr="00FE19DF">
              <w:rPr>
                <w:b/>
                <w:sz w:val="20"/>
              </w:rPr>
              <w:t>included</w:t>
            </w:r>
            <w:r w:rsidRPr="00FE19DF">
              <w:rPr>
                <w:b/>
                <w:spacing w:val="-5"/>
                <w:sz w:val="20"/>
              </w:rPr>
              <w:t xml:space="preserve"> </w:t>
            </w:r>
            <w:r w:rsidRPr="00FE19DF">
              <w:rPr>
                <w:b/>
                <w:sz w:val="20"/>
              </w:rPr>
              <w:t>on</w:t>
            </w:r>
            <w:r w:rsidRPr="00FE19DF">
              <w:rPr>
                <w:b/>
                <w:spacing w:val="-5"/>
                <w:sz w:val="20"/>
              </w:rPr>
              <w:t xml:space="preserve"> </w:t>
            </w:r>
            <w:r w:rsidRPr="00FE19DF">
              <w:rPr>
                <w:b/>
                <w:sz w:val="20"/>
              </w:rPr>
              <w:t>competitive</w:t>
            </w:r>
            <w:r w:rsidRPr="00FE19DF">
              <w:rPr>
                <w:b/>
                <w:spacing w:val="-4"/>
                <w:sz w:val="20"/>
              </w:rPr>
              <w:t xml:space="preserve"> </w:t>
            </w:r>
            <w:r w:rsidRPr="00FE19DF">
              <w:rPr>
                <w:b/>
                <w:sz w:val="20"/>
              </w:rPr>
              <w:t>proposal</w:t>
            </w:r>
            <w:r w:rsidRPr="00FE19DF">
              <w:rPr>
                <w:b/>
                <w:spacing w:val="-5"/>
                <w:sz w:val="20"/>
              </w:rPr>
              <w:t xml:space="preserve"> </w:t>
            </w:r>
            <w:r w:rsidRPr="00FE19DF">
              <w:rPr>
                <w:b/>
                <w:spacing w:val="-2"/>
                <w:sz w:val="20"/>
              </w:rPr>
              <w:t>budgets.</w:t>
            </w:r>
          </w:p>
          <w:p w14:paraId="12318233" w14:textId="77777777" w:rsidR="000F4CFF" w:rsidRPr="00FE19DF" w:rsidRDefault="00FE19DF">
            <w:pPr>
              <w:pStyle w:val="TableParagraph"/>
              <w:spacing w:before="226"/>
              <w:ind w:left="105" w:right="95"/>
              <w:jc w:val="both"/>
              <w:rPr>
                <w:sz w:val="20"/>
              </w:rPr>
            </w:pPr>
            <w:r w:rsidRPr="00FE19DF">
              <w:rPr>
                <w:sz w:val="20"/>
              </w:rPr>
              <w:t xml:space="preserve">Since short-term visas are issued for a specific period and purpose, they can be clearly identified as directly benefiting work performed on a federal award and can be directly charged. For these costs to be directly charged to a federal award, they must be (1) critical and necessary </w:t>
            </w:r>
            <w:proofErr w:type="gramStart"/>
            <w:r w:rsidRPr="00FE19DF">
              <w:rPr>
                <w:sz w:val="20"/>
              </w:rPr>
              <w:t>to</w:t>
            </w:r>
            <w:proofErr w:type="gramEnd"/>
            <w:r w:rsidRPr="00FE19DF">
              <w:rPr>
                <w:sz w:val="20"/>
              </w:rPr>
              <w:t xml:space="preserve"> the project and (2) allowable by the agency. Also, the charges need to be consistent with MU’s cost accounting policies and practices. Typically, these visas allow employees and students to engage in field research or attend meetings in foreign </w:t>
            </w:r>
            <w:proofErr w:type="gramStart"/>
            <w:r w:rsidRPr="00FE19DF">
              <w:rPr>
                <w:sz w:val="20"/>
              </w:rPr>
              <w:t>locations, or</w:t>
            </w:r>
            <w:proofErr w:type="gramEnd"/>
            <w:r w:rsidRPr="00FE19DF">
              <w:rPr>
                <w:sz w:val="20"/>
              </w:rPr>
              <w:t xml:space="preserve"> allow</w:t>
            </w:r>
            <w:r w:rsidRPr="00FE19DF">
              <w:rPr>
                <w:spacing w:val="-4"/>
                <w:sz w:val="20"/>
              </w:rPr>
              <w:t xml:space="preserve"> </w:t>
            </w:r>
            <w:r w:rsidRPr="00FE19DF">
              <w:rPr>
                <w:sz w:val="20"/>
              </w:rPr>
              <w:t>foreign visitors to visit MU in support of</w:t>
            </w:r>
            <w:r w:rsidRPr="00FE19DF">
              <w:rPr>
                <w:spacing w:val="-1"/>
                <w:sz w:val="20"/>
              </w:rPr>
              <w:t xml:space="preserve"> </w:t>
            </w:r>
            <w:r w:rsidRPr="00FE19DF">
              <w:rPr>
                <w:sz w:val="20"/>
              </w:rPr>
              <w:t>the project. Long-term</w:t>
            </w:r>
            <w:r w:rsidRPr="00FE19DF">
              <w:rPr>
                <w:spacing w:val="-1"/>
                <w:sz w:val="20"/>
              </w:rPr>
              <w:t xml:space="preserve"> </w:t>
            </w:r>
            <w:r w:rsidRPr="00FE19DF">
              <w:rPr>
                <w:sz w:val="20"/>
              </w:rPr>
              <w:t>visa costs, such</w:t>
            </w:r>
            <w:r w:rsidRPr="00FE19DF">
              <w:rPr>
                <w:spacing w:val="-1"/>
                <w:sz w:val="20"/>
              </w:rPr>
              <w:t xml:space="preserve"> </w:t>
            </w:r>
            <w:r w:rsidRPr="00FE19DF">
              <w:rPr>
                <w:sz w:val="20"/>
              </w:rPr>
              <w:t>as those that enable employment at MU (for example “J” and “H1B” visas) are not allowable as direct charges.</w:t>
            </w:r>
          </w:p>
        </w:tc>
      </w:tr>
      <w:tr w:rsidR="00FE19DF" w:rsidRPr="00FE19DF" w14:paraId="2423A540" w14:textId="77777777">
        <w:trPr>
          <w:trHeight w:val="3220"/>
        </w:trPr>
        <w:tc>
          <w:tcPr>
            <w:tcW w:w="3080" w:type="dxa"/>
          </w:tcPr>
          <w:p w14:paraId="49574DAD" w14:textId="77777777" w:rsidR="000F4CFF" w:rsidRPr="00FE19DF" w:rsidRDefault="00FE19DF">
            <w:pPr>
              <w:pStyle w:val="TableParagraph"/>
              <w:spacing w:before="272"/>
              <w:rPr>
                <w:b/>
                <w:sz w:val="24"/>
              </w:rPr>
            </w:pPr>
            <w:r w:rsidRPr="00FE19DF">
              <w:rPr>
                <w:b/>
                <w:sz w:val="24"/>
              </w:rPr>
              <w:t>F&amp;A</w:t>
            </w:r>
            <w:r w:rsidRPr="00FE19DF">
              <w:rPr>
                <w:b/>
                <w:spacing w:val="-1"/>
                <w:sz w:val="24"/>
              </w:rPr>
              <w:t xml:space="preserve"> </w:t>
            </w:r>
            <w:r w:rsidRPr="00FE19DF">
              <w:rPr>
                <w:b/>
                <w:sz w:val="24"/>
              </w:rPr>
              <w:t>ON</w:t>
            </w:r>
            <w:r w:rsidRPr="00FE19DF">
              <w:rPr>
                <w:b/>
                <w:spacing w:val="-1"/>
                <w:sz w:val="24"/>
              </w:rPr>
              <w:t xml:space="preserve"> </w:t>
            </w:r>
            <w:r w:rsidRPr="00FE19DF">
              <w:rPr>
                <w:b/>
                <w:spacing w:val="-2"/>
                <w:sz w:val="24"/>
              </w:rPr>
              <w:t>SUBAWARDS</w:t>
            </w:r>
          </w:p>
          <w:p w14:paraId="354BB280" w14:textId="77777777" w:rsidR="000F4CFF" w:rsidRPr="00FE19DF" w:rsidRDefault="00FE19DF">
            <w:pPr>
              <w:pStyle w:val="TableParagraph"/>
              <w:spacing w:before="233"/>
              <w:rPr>
                <w:b/>
                <w:sz w:val="20"/>
              </w:rPr>
            </w:pPr>
            <w:r w:rsidRPr="00FE19DF">
              <w:rPr>
                <w:b/>
                <w:sz w:val="20"/>
              </w:rPr>
              <w:t>Applicable</w:t>
            </w:r>
            <w:r w:rsidRPr="00FE19DF">
              <w:rPr>
                <w:b/>
                <w:spacing w:val="-13"/>
                <w:sz w:val="20"/>
              </w:rPr>
              <w:t xml:space="preserve"> </w:t>
            </w:r>
            <w:r w:rsidRPr="00FE19DF">
              <w:rPr>
                <w:b/>
                <w:sz w:val="20"/>
              </w:rPr>
              <w:t>Uniform</w:t>
            </w:r>
            <w:r w:rsidRPr="00FE19DF">
              <w:rPr>
                <w:b/>
                <w:spacing w:val="-12"/>
                <w:sz w:val="20"/>
              </w:rPr>
              <w:t xml:space="preserve"> </w:t>
            </w:r>
            <w:r w:rsidRPr="00FE19DF">
              <w:rPr>
                <w:b/>
                <w:sz w:val="20"/>
              </w:rPr>
              <w:t xml:space="preserve">Guidance </w:t>
            </w:r>
            <w:r w:rsidRPr="00FE19DF">
              <w:rPr>
                <w:b/>
                <w:spacing w:val="-2"/>
                <w:sz w:val="20"/>
              </w:rPr>
              <w:t>section:</w:t>
            </w:r>
          </w:p>
          <w:p w14:paraId="340BAB5F" w14:textId="77777777" w:rsidR="000F4CFF" w:rsidRPr="00FE19DF" w:rsidRDefault="00FE19DF">
            <w:pPr>
              <w:pStyle w:val="TableParagraph"/>
              <w:spacing w:line="244" w:lineRule="exact"/>
              <w:rPr>
                <w:rFonts w:ascii="Calibri"/>
                <w:b/>
                <w:sz w:val="20"/>
              </w:rPr>
            </w:pPr>
            <w:r w:rsidRPr="00FE19DF">
              <w:rPr>
                <w:rFonts w:ascii="Calibri"/>
                <w:b/>
                <w:spacing w:val="-2"/>
                <w:sz w:val="20"/>
              </w:rPr>
              <w:t>200.331</w:t>
            </w:r>
          </w:p>
        </w:tc>
        <w:tc>
          <w:tcPr>
            <w:tcW w:w="7592" w:type="dxa"/>
          </w:tcPr>
          <w:p w14:paraId="3EBA314E" w14:textId="77777777" w:rsidR="000F4CFF" w:rsidRPr="00FE19DF" w:rsidRDefault="00FE19DF">
            <w:pPr>
              <w:pStyle w:val="TableParagraph"/>
              <w:ind w:left="105" w:right="97"/>
              <w:jc w:val="both"/>
              <w:rPr>
                <w:b/>
                <w:sz w:val="20"/>
              </w:rPr>
            </w:pPr>
            <w:r w:rsidRPr="00FE19DF">
              <w:rPr>
                <w:b/>
                <w:sz w:val="20"/>
              </w:rPr>
              <w:t>The subrecipient’s negotiated facilities and administrative (F&amp;A) rate, or an alternative rate as described below, must be used for all subawards included in competitive proposals.</w:t>
            </w:r>
          </w:p>
          <w:p w14:paraId="0802565B" w14:textId="77777777" w:rsidR="000F4CFF" w:rsidRPr="00FE19DF" w:rsidRDefault="00FE19DF">
            <w:pPr>
              <w:pStyle w:val="TableParagraph"/>
              <w:spacing w:before="223"/>
              <w:ind w:left="105" w:right="96"/>
              <w:jc w:val="both"/>
              <w:rPr>
                <w:sz w:val="20"/>
              </w:rPr>
            </w:pPr>
            <w:r w:rsidRPr="00FE19DF">
              <w:rPr>
                <w:sz w:val="20"/>
              </w:rPr>
              <w:t xml:space="preserve">If a federal program has a published statutory F&amp;A cap, that rate must be used both by MU and </w:t>
            </w:r>
            <w:proofErr w:type="gramStart"/>
            <w:r w:rsidRPr="00FE19DF">
              <w:rPr>
                <w:sz w:val="20"/>
              </w:rPr>
              <w:t>all of</w:t>
            </w:r>
            <w:proofErr w:type="gramEnd"/>
            <w:r w:rsidRPr="00FE19DF">
              <w:rPr>
                <w:sz w:val="20"/>
              </w:rPr>
              <w:t xml:space="preserve"> its subrecipients. For all other federal programs, if a subrecipient has a federally negotiated F&amp;A rate, it must be used. If the entity does not have a negotiated F&amp;A rate, a 10% </w:t>
            </w:r>
            <w:proofErr w:type="gramStart"/>
            <w:r w:rsidRPr="00FE19DF">
              <w:rPr>
                <w:sz w:val="20"/>
              </w:rPr>
              <w:t>de minimis</w:t>
            </w:r>
            <w:proofErr w:type="gramEnd"/>
            <w:r w:rsidRPr="00FE19DF">
              <w:rPr>
                <w:sz w:val="20"/>
              </w:rPr>
              <w:t xml:space="preserve"> F&amp;A rate must be used instead, or the PI/Department may request that OSPA negotiate an F&amp;A rate with the subrecipient. PIs/Departments may not negotiate or agree to lower rates with subrecipients.</w:t>
            </w:r>
          </w:p>
          <w:p w14:paraId="5CB78C71" w14:textId="77777777" w:rsidR="000F4CFF" w:rsidRPr="00FE19DF" w:rsidRDefault="000F4CFF">
            <w:pPr>
              <w:pStyle w:val="TableParagraph"/>
              <w:ind w:left="0"/>
              <w:rPr>
                <w:sz w:val="20"/>
              </w:rPr>
            </w:pPr>
          </w:p>
          <w:p w14:paraId="0893AB6A" w14:textId="77777777" w:rsidR="000F4CFF" w:rsidRPr="00FE19DF" w:rsidRDefault="00FE19DF">
            <w:pPr>
              <w:pStyle w:val="TableParagraph"/>
              <w:ind w:left="105" w:right="100"/>
              <w:jc w:val="both"/>
              <w:rPr>
                <w:sz w:val="20"/>
              </w:rPr>
            </w:pPr>
            <w:r w:rsidRPr="00FE19DF">
              <w:rPr>
                <w:sz w:val="20"/>
              </w:rPr>
              <w:t>There is no change to MU’s own F&amp;A recovery, which remains limited to F&amp;A associated with the first $25,000 of each subaward.</w:t>
            </w:r>
          </w:p>
        </w:tc>
      </w:tr>
      <w:tr w:rsidR="00FE19DF" w:rsidRPr="00FE19DF" w14:paraId="1642D46C" w14:textId="77777777">
        <w:trPr>
          <w:trHeight w:val="2006"/>
        </w:trPr>
        <w:tc>
          <w:tcPr>
            <w:tcW w:w="3080" w:type="dxa"/>
          </w:tcPr>
          <w:p w14:paraId="06875462" w14:textId="77777777" w:rsidR="000F4CFF" w:rsidRPr="00FE19DF" w:rsidRDefault="00FE19DF">
            <w:pPr>
              <w:pStyle w:val="TableParagraph"/>
              <w:spacing w:before="272"/>
              <w:ind w:right="671"/>
              <w:rPr>
                <w:b/>
                <w:sz w:val="24"/>
              </w:rPr>
            </w:pPr>
            <w:r w:rsidRPr="00FE19DF">
              <w:rPr>
                <w:b/>
                <w:sz w:val="24"/>
              </w:rPr>
              <w:t>FIXED</w:t>
            </w:r>
            <w:r w:rsidRPr="00FE19DF">
              <w:rPr>
                <w:b/>
                <w:spacing w:val="-15"/>
                <w:sz w:val="24"/>
              </w:rPr>
              <w:t xml:space="preserve"> </w:t>
            </w:r>
            <w:r w:rsidRPr="00FE19DF">
              <w:rPr>
                <w:b/>
                <w:sz w:val="24"/>
              </w:rPr>
              <w:t xml:space="preserve">PRICE/RATE </w:t>
            </w:r>
            <w:r w:rsidRPr="00FE19DF">
              <w:rPr>
                <w:b/>
                <w:spacing w:val="-2"/>
                <w:sz w:val="24"/>
              </w:rPr>
              <w:t>SUBAWARDS</w:t>
            </w:r>
          </w:p>
          <w:p w14:paraId="10BCD5B2" w14:textId="77777777" w:rsidR="000F4CFF" w:rsidRPr="00FE19DF" w:rsidRDefault="00FE19DF">
            <w:pPr>
              <w:pStyle w:val="TableParagraph"/>
              <w:spacing w:before="230"/>
              <w:rPr>
                <w:b/>
                <w:sz w:val="20"/>
              </w:rPr>
            </w:pPr>
            <w:r w:rsidRPr="00FE19DF">
              <w:rPr>
                <w:b/>
                <w:sz w:val="20"/>
              </w:rPr>
              <w:t>Applicable</w:t>
            </w:r>
            <w:r w:rsidRPr="00FE19DF">
              <w:rPr>
                <w:b/>
                <w:spacing w:val="-13"/>
                <w:sz w:val="20"/>
              </w:rPr>
              <w:t xml:space="preserve"> </w:t>
            </w:r>
            <w:r w:rsidRPr="00FE19DF">
              <w:rPr>
                <w:b/>
                <w:sz w:val="20"/>
              </w:rPr>
              <w:t>Uniform</w:t>
            </w:r>
            <w:r w:rsidRPr="00FE19DF">
              <w:rPr>
                <w:b/>
                <w:spacing w:val="-12"/>
                <w:sz w:val="20"/>
              </w:rPr>
              <w:t xml:space="preserve"> </w:t>
            </w:r>
            <w:r w:rsidRPr="00FE19DF">
              <w:rPr>
                <w:b/>
                <w:sz w:val="20"/>
              </w:rPr>
              <w:t xml:space="preserve">Guidance </w:t>
            </w:r>
            <w:r w:rsidRPr="00FE19DF">
              <w:rPr>
                <w:b/>
                <w:spacing w:val="-2"/>
                <w:sz w:val="20"/>
              </w:rPr>
              <w:t>section:</w:t>
            </w:r>
          </w:p>
          <w:p w14:paraId="375ED9F1" w14:textId="77777777" w:rsidR="000F4CFF" w:rsidRPr="00FE19DF" w:rsidRDefault="00FE19DF">
            <w:pPr>
              <w:pStyle w:val="TableParagraph"/>
              <w:spacing w:before="2"/>
              <w:rPr>
                <w:rFonts w:ascii="Calibri"/>
                <w:b/>
                <w:sz w:val="20"/>
              </w:rPr>
            </w:pPr>
            <w:r w:rsidRPr="00FE19DF">
              <w:rPr>
                <w:rFonts w:ascii="Calibri"/>
                <w:b/>
                <w:spacing w:val="-2"/>
                <w:sz w:val="20"/>
              </w:rPr>
              <w:t>200.332</w:t>
            </w:r>
          </w:p>
        </w:tc>
        <w:tc>
          <w:tcPr>
            <w:tcW w:w="7592" w:type="dxa"/>
          </w:tcPr>
          <w:p w14:paraId="4CDBC8F1" w14:textId="77777777" w:rsidR="000F4CFF" w:rsidRPr="00FE19DF" w:rsidRDefault="00FE19DF">
            <w:pPr>
              <w:pStyle w:val="TableParagraph"/>
              <w:ind w:left="105" w:right="98"/>
              <w:jc w:val="both"/>
              <w:rPr>
                <w:b/>
                <w:sz w:val="20"/>
              </w:rPr>
            </w:pPr>
            <w:r w:rsidRPr="00FE19DF">
              <w:rPr>
                <w:b/>
                <w:sz w:val="20"/>
              </w:rPr>
              <w:t>Agency</w:t>
            </w:r>
            <w:r w:rsidRPr="00FE19DF">
              <w:rPr>
                <w:b/>
                <w:spacing w:val="-2"/>
                <w:sz w:val="20"/>
              </w:rPr>
              <w:t xml:space="preserve"> </w:t>
            </w:r>
            <w:r w:rsidRPr="00FE19DF">
              <w:rPr>
                <w:b/>
                <w:sz w:val="20"/>
              </w:rPr>
              <w:t>prior</w:t>
            </w:r>
            <w:r w:rsidRPr="00FE19DF">
              <w:rPr>
                <w:b/>
                <w:spacing w:val="-3"/>
                <w:sz w:val="20"/>
              </w:rPr>
              <w:t xml:space="preserve"> </w:t>
            </w:r>
            <w:r w:rsidRPr="00FE19DF">
              <w:rPr>
                <w:b/>
                <w:sz w:val="20"/>
              </w:rPr>
              <w:t>approval</w:t>
            </w:r>
            <w:r w:rsidRPr="00FE19DF">
              <w:rPr>
                <w:b/>
                <w:spacing w:val="-4"/>
                <w:sz w:val="20"/>
              </w:rPr>
              <w:t xml:space="preserve"> </w:t>
            </w:r>
            <w:r w:rsidRPr="00FE19DF">
              <w:rPr>
                <w:b/>
                <w:sz w:val="20"/>
              </w:rPr>
              <w:t>is</w:t>
            </w:r>
            <w:r w:rsidRPr="00FE19DF">
              <w:rPr>
                <w:b/>
                <w:spacing w:val="-4"/>
                <w:sz w:val="20"/>
              </w:rPr>
              <w:t xml:space="preserve"> </w:t>
            </w:r>
            <w:r w:rsidRPr="00FE19DF">
              <w:rPr>
                <w:b/>
                <w:sz w:val="20"/>
              </w:rPr>
              <w:t>required</w:t>
            </w:r>
            <w:r w:rsidRPr="00FE19DF">
              <w:rPr>
                <w:b/>
                <w:spacing w:val="-3"/>
                <w:sz w:val="20"/>
              </w:rPr>
              <w:t xml:space="preserve"> </w:t>
            </w:r>
            <w:r w:rsidRPr="00FE19DF">
              <w:rPr>
                <w:b/>
                <w:sz w:val="20"/>
              </w:rPr>
              <w:t>to</w:t>
            </w:r>
            <w:r w:rsidRPr="00FE19DF">
              <w:rPr>
                <w:b/>
                <w:spacing w:val="-2"/>
                <w:sz w:val="20"/>
              </w:rPr>
              <w:t xml:space="preserve"> </w:t>
            </w:r>
            <w:proofErr w:type="gramStart"/>
            <w:r w:rsidRPr="00FE19DF">
              <w:rPr>
                <w:b/>
                <w:sz w:val="20"/>
              </w:rPr>
              <w:t>enter</w:t>
            </w:r>
            <w:r w:rsidRPr="00FE19DF">
              <w:rPr>
                <w:b/>
                <w:spacing w:val="-3"/>
                <w:sz w:val="20"/>
              </w:rPr>
              <w:t xml:space="preserve"> </w:t>
            </w:r>
            <w:r w:rsidRPr="00FE19DF">
              <w:rPr>
                <w:b/>
                <w:sz w:val="20"/>
              </w:rPr>
              <w:t>into</w:t>
            </w:r>
            <w:proofErr w:type="gramEnd"/>
            <w:r w:rsidRPr="00FE19DF">
              <w:rPr>
                <w:b/>
                <w:spacing w:val="-2"/>
                <w:sz w:val="20"/>
              </w:rPr>
              <w:t xml:space="preserve"> </w:t>
            </w:r>
            <w:r w:rsidRPr="00FE19DF">
              <w:rPr>
                <w:b/>
                <w:sz w:val="20"/>
              </w:rPr>
              <w:t>fixed</w:t>
            </w:r>
            <w:r w:rsidRPr="00FE19DF">
              <w:rPr>
                <w:b/>
                <w:spacing w:val="-4"/>
                <w:sz w:val="20"/>
              </w:rPr>
              <w:t xml:space="preserve"> </w:t>
            </w:r>
            <w:r w:rsidRPr="00FE19DF">
              <w:rPr>
                <w:b/>
                <w:sz w:val="20"/>
              </w:rPr>
              <w:t>price/rate</w:t>
            </w:r>
            <w:r w:rsidRPr="00FE19DF">
              <w:rPr>
                <w:b/>
                <w:spacing w:val="-3"/>
                <w:sz w:val="20"/>
              </w:rPr>
              <w:t xml:space="preserve"> </w:t>
            </w:r>
            <w:r w:rsidRPr="00FE19DF">
              <w:rPr>
                <w:b/>
                <w:sz w:val="20"/>
              </w:rPr>
              <w:t>subawards,</w:t>
            </w:r>
            <w:r w:rsidRPr="00FE19DF">
              <w:rPr>
                <w:b/>
                <w:spacing w:val="-3"/>
                <w:sz w:val="20"/>
              </w:rPr>
              <w:t xml:space="preserve"> </w:t>
            </w:r>
            <w:r w:rsidRPr="00FE19DF">
              <w:rPr>
                <w:b/>
                <w:sz w:val="20"/>
              </w:rPr>
              <w:t>which</w:t>
            </w:r>
            <w:r w:rsidRPr="00FE19DF">
              <w:rPr>
                <w:b/>
                <w:spacing w:val="-1"/>
                <w:sz w:val="20"/>
              </w:rPr>
              <w:t xml:space="preserve"> </w:t>
            </w:r>
            <w:r w:rsidRPr="00FE19DF">
              <w:rPr>
                <w:b/>
                <w:sz w:val="20"/>
              </w:rPr>
              <w:t>may not exceed $150,000.</w:t>
            </w:r>
          </w:p>
          <w:p w14:paraId="26B8AFF3" w14:textId="77777777" w:rsidR="000F4CFF" w:rsidRPr="00FE19DF" w:rsidRDefault="00FE19DF">
            <w:pPr>
              <w:pStyle w:val="TableParagraph"/>
              <w:spacing w:before="222"/>
              <w:ind w:left="105" w:right="97"/>
              <w:jc w:val="both"/>
              <w:rPr>
                <w:sz w:val="20"/>
              </w:rPr>
            </w:pPr>
            <w:r w:rsidRPr="00FE19DF">
              <w:rPr>
                <w:sz w:val="20"/>
              </w:rPr>
              <w:t xml:space="preserve">Agency prior approval is required to </w:t>
            </w:r>
            <w:proofErr w:type="gramStart"/>
            <w:r w:rsidRPr="00FE19DF">
              <w:rPr>
                <w:sz w:val="20"/>
              </w:rPr>
              <w:t>enter into</w:t>
            </w:r>
            <w:proofErr w:type="gramEnd"/>
            <w:r w:rsidRPr="00FE19DF">
              <w:rPr>
                <w:sz w:val="20"/>
              </w:rPr>
              <w:t xml:space="preserve"> a fixed price/rate subaward rather than a cost-reimbursement subaward. The total value of each fixed price/rate subaward may not exceed $150,000.</w:t>
            </w:r>
          </w:p>
        </w:tc>
      </w:tr>
      <w:tr w:rsidR="00FE19DF" w:rsidRPr="00FE19DF" w14:paraId="7C05D6D4" w14:textId="77777777">
        <w:trPr>
          <w:trHeight w:val="4843"/>
        </w:trPr>
        <w:tc>
          <w:tcPr>
            <w:tcW w:w="3080" w:type="dxa"/>
          </w:tcPr>
          <w:p w14:paraId="1CDBF03A" w14:textId="77777777" w:rsidR="000F4CFF" w:rsidRPr="00FE19DF" w:rsidRDefault="00FE19DF">
            <w:pPr>
              <w:pStyle w:val="TableParagraph"/>
              <w:spacing w:before="272"/>
              <w:rPr>
                <w:b/>
                <w:sz w:val="24"/>
              </w:rPr>
            </w:pPr>
            <w:r w:rsidRPr="00FE19DF">
              <w:rPr>
                <w:b/>
                <w:sz w:val="24"/>
              </w:rPr>
              <w:t>REVIEW</w:t>
            </w:r>
            <w:r w:rsidRPr="00FE19DF">
              <w:rPr>
                <w:b/>
                <w:spacing w:val="-15"/>
                <w:sz w:val="24"/>
              </w:rPr>
              <w:t xml:space="preserve"> </w:t>
            </w:r>
            <w:r w:rsidRPr="00FE19DF">
              <w:rPr>
                <w:b/>
                <w:sz w:val="24"/>
              </w:rPr>
              <w:t>OF</w:t>
            </w:r>
            <w:r w:rsidRPr="00FE19DF">
              <w:rPr>
                <w:b/>
                <w:spacing w:val="-15"/>
                <w:sz w:val="24"/>
              </w:rPr>
              <w:t xml:space="preserve"> </w:t>
            </w:r>
            <w:r w:rsidRPr="00FE19DF">
              <w:rPr>
                <w:b/>
                <w:sz w:val="24"/>
              </w:rPr>
              <w:t xml:space="preserve">SUBAWARD </w:t>
            </w:r>
            <w:r w:rsidRPr="00FE19DF">
              <w:rPr>
                <w:b/>
                <w:spacing w:val="-2"/>
                <w:sz w:val="24"/>
              </w:rPr>
              <w:t>PROGRAMMATIC REPORTS</w:t>
            </w:r>
          </w:p>
          <w:p w14:paraId="3C9BB55D" w14:textId="77777777" w:rsidR="000F4CFF" w:rsidRPr="00FE19DF" w:rsidRDefault="00FE19DF">
            <w:pPr>
              <w:pStyle w:val="TableParagraph"/>
              <w:spacing w:before="184"/>
              <w:rPr>
                <w:b/>
                <w:sz w:val="20"/>
              </w:rPr>
            </w:pPr>
            <w:r w:rsidRPr="00FE19DF">
              <w:rPr>
                <w:b/>
                <w:sz w:val="20"/>
              </w:rPr>
              <w:t>Applicable</w:t>
            </w:r>
            <w:r w:rsidRPr="00FE19DF">
              <w:rPr>
                <w:b/>
                <w:spacing w:val="-13"/>
                <w:sz w:val="20"/>
              </w:rPr>
              <w:t xml:space="preserve"> </w:t>
            </w:r>
            <w:r w:rsidRPr="00FE19DF">
              <w:rPr>
                <w:b/>
                <w:sz w:val="20"/>
              </w:rPr>
              <w:t>Uniform</w:t>
            </w:r>
            <w:r w:rsidRPr="00FE19DF">
              <w:rPr>
                <w:b/>
                <w:spacing w:val="-12"/>
                <w:sz w:val="20"/>
              </w:rPr>
              <w:t xml:space="preserve"> </w:t>
            </w:r>
            <w:r w:rsidRPr="00FE19DF">
              <w:rPr>
                <w:b/>
                <w:sz w:val="20"/>
              </w:rPr>
              <w:t xml:space="preserve">Guidance </w:t>
            </w:r>
            <w:r w:rsidRPr="00FE19DF">
              <w:rPr>
                <w:b/>
                <w:spacing w:val="-2"/>
                <w:sz w:val="20"/>
              </w:rPr>
              <w:t>section:</w:t>
            </w:r>
          </w:p>
          <w:p w14:paraId="3C8997E3" w14:textId="77777777" w:rsidR="000F4CFF" w:rsidRPr="00FE19DF" w:rsidRDefault="00FE19DF">
            <w:pPr>
              <w:pStyle w:val="TableParagraph"/>
              <w:spacing w:before="2"/>
              <w:rPr>
                <w:rFonts w:ascii="Calibri"/>
                <w:b/>
                <w:sz w:val="20"/>
              </w:rPr>
            </w:pPr>
            <w:r w:rsidRPr="00FE19DF">
              <w:rPr>
                <w:rFonts w:ascii="Calibri"/>
                <w:b/>
                <w:spacing w:val="-2"/>
                <w:sz w:val="20"/>
              </w:rPr>
              <w:t>200.331(d)(1)</w:t>
            </w:r>
          </w:p>
        </w:tc>
        <w:tc>
          <w:tcPr>
            <w:tcW w:w="7592" w:type="dxa"/>
          </w:tcPr>
          <w:p w14:paraId="0594B6E9" w14:textId="77777777" w:rsidR="000F4CFF" w:rsidRPr="00FE19DF" w:rsidRDefault="00FE19DF">
            <w:pPr>
              <w:pStyle w:val="TableParagraph"/>
              <w:spacing w:line="228" w:lineRule="exact"/>
              <w:ind w:left="105"/>
              <w:jc w:val="both"/>
              <w:rPr>
                <w:b/>
                <w:sz w:val="20"/>
              </w:rPr>
            </w:pPr>
            <w:r w:rsidRPr="00FE19DF">
              <w:rPr>
                <w:b/>
                <w:sz w:val="20"/>
              </w:rPr>
              <w:t>MU’s</w:t>
            </w:r>
            <w:r w:rsidRPr="00FE19DF">
              <w:rPr>
                <w:b/>
                <w:spacing w:val="-7"/>
                <w:sz w:val="20"/>
              </w:rPr>
              <w:t xml:space="preserve"> </w:t>
            </w:r>
            <w:r w:rsidRPr="00FE19DF">
              <w:rPr>
                <w:b/>
                <w:sz w:val="20"/>
              </w:rPr>
              <w:t>monitoring</w:t>
            </w:r>
            <w:r w:rsidRPr="00FE19DF">
              <w:rPr>
                <w:b/>
                <w:spacing w:val="-7"/>
                <w:sz w:val="20"/>
              </w:rPr>
              <w:t xml:space="preserve"> </w:t>
            </w:r>
            <w:r w:rsidRPr="00FE19DF">
              <w:rPr>
                <w:b/>
                <w:sz w:val="20"/>
              </w:rPr>
              <w:t>of</w:t>
            </w:r>
            <w:r w:rsidRPr="00FE19DF">
              <w:rPr>
                <w:b/>
                <w:spacing w:val="-7"/>
                <w:sz w:val="20"/>
              </w:rPr>
              <w:t xml:space="preserve"> </w:t>
            </w:r>
            <w:r w:rsidRPr="00FE19DF">
              <w:rPr>
                <w:b/>
                <w:sz w:val="20"/>
              </w:rPr>
              <w:t>subrecipients</w:t>
            </w:r>
            <w:r w:rsidRPr="00FE19DF">
              <w:rPr>
                <w:b/>
                <w:spacing w:val="-5"/>
                <w:sz w:val="20"/>
              </w:rPr>
              <w:t xml:space="preserve"> </w:t>
            </w:r>
            <w:r w:rsidRPr="00FE19DF">
              <w:rPr>
                <w:b/>
                <w:sz w:val="20"/>
              </w:rPr>
              <w:t>must</w:t>
            </w:r>
            <w:r w:rsidRPr="00FE19DF">
              <w:rPr>
                <w:b/>
                <w:spacing w:val="-7"/>
                <w:sz w:val="20"/>
              </w:rPr>
              <w:t xml:space="preserve"> </w:t>
            </w:r>
            <w:r w:rsidRPr="00FE19DF">
              <w:rPr>
                <w:b/>
                <w:sz w:val="20"/>
              </w:rPr>
              <w:t>include</w:t>
            </w:r>
            <w:r w:rsidRPr="00FE19DF">
              <w:rPr>
                <w:b/>
                <w:spacing w:val="-7"/>
                <w:sz w:val="20"/>
              </w:rPr>
              <w:t xml:space="preserve"> </w:t>
            </w:r>
            <w:r w:rsidRPr="00FE19DF">
              <w:rPr>
                <w:b/>
                <w:sz w:val="20"/>
              </w:rPr>
              <w:t>review</w:t>
            </w:r>
            <w:r w:rsidRPr="00FE19DF">
              <w:rPr>
                <w:b/>
                <w:spacing w:val="-5"/>
                <w:sz w:val="20"/>
              </w:rPr>
              <w:t xml:space="preserve"> </w:t>
            </w:r>
            <w:r w:rsidRPr="00FE19DF">
              <w:rPr>
                <w:b/>
                <w:sz w:val="20"/>
              </w:rPr>
              <w:t>of</w:t>
            </w:r>
            <w:r w:rsidRPr="00FE19DF">
              <w:rPr>
                <w:b/>
                <w:spacing w:val="-7"/>
                <w:sz w:val="20"/>
              </w:rPr>
              <w:t xml:space="preserve"> </w:t>
            </w:r>
            <w:r w:rsidRPr="00FE19DF">
              <w:rPr>
                <w:b/>
                <w:sz w:val="20"/>
              </w:rPr>
              <w:t>programmatic</w:t>
            </w:r>
            <w:r w:rsidRPr="00FE19DF">
              <w:rPr>
                <w:b/>
                <w:spacing w:val="-7"/>
                <w:sz w:val="20"/>
              </w:rPr>
              <w:t xml:space="preserve"> </w:t>
            </w:r>
            <w:r w:rsidRPr="00FE19DF">
              <w:rPr>
                <w:b/>
                <w:spacing w:val="-2"/>
                <w:sz w:val="20"/>
              </w:rPr>
              <w:t>reports.</w:t>
            </w:r>
          </w:p>
          <w:p w14:paraId="3539BB26" w14:textId="77777777" w:rsidR="000F4CFF" w:rsidRPr="00FE19DF" w:rsidRDefault="00FE19DF">
            <w:pPr>
              <w:pStyle w:val="TableParagraph"/>
              <w:spacing w:before="223"/>
              <w:ind w:left="105" w:right="96"/>
              <w:jc w:val="both"/>
              <w:rPr>
                <w:sz w:val="20"/>
              </w:rPr>
            </w:pPr>
            <w:r w:rsidRPr="00FE19DF">
              <w:rPr>
                <w:sz w:val="20"/>
              </w:rPr>
              <w:t>PI</w:t>
            </w:r>
            <w:r w:rsidRPr="00FE19DF">
              <w:rPr>
                <w:spacing w:val="-3"/>
                <w:sz w:val="20"/>
              </w:rPr>
              <w:t xml:space="preserve"> </w:t>
            </w:r>
            <w:r w:rsidRPr="00FE19DF">
              <w:rPr>
                <w:sz w:val="20"/>
              </w:rPr>
              <w:t>approval</w:t>
            </w:r>
            <w:r w:rsidRPr="00FE19DF">
              <w:rPr>
                <w:spacing w:val="-3"/>
                <w:sz w:val="20"/>
              </w:rPr>
              <w:t xml:space="preserve"> </w:t>
            </w:r>
            <w:r w:rsidRPr="00FE19DF">
              <w:rPr>
                <w:sz w:val="20"/>
              </w:rPr>
              <w:t>is</w:t>
            </w:r>
            <w:r w:rsidRPr="00FE19DF">
              <w:rPr>
                <w:spacing w:val="-4"/>
                <w:sz w:val="20"/>
              </w:rPr>
              <w:t xml:space="preserve"> </w:t>
            </w:r>
            <w:r w:rsidRPr="00FE19DF">
              <w:rPr>
                <w:sz w:val="20"/>
              </w:rPr>
              <w:t>required</w:t>
            </w:r>
            <w:r w:rsidRPr="00FE19DF">
              <w:rPr>
                <w:spacing w:val="-2"/>
                <w:sz w:val="20"/>
              </w:rPr>
              <w:t xml:space="preserve"> </w:t>
            </w:r>
            <w:r w:rsidRPr="00FE19DF">
              <w:rPr>
                <w:sz w:val="20"/>
              </w:rPr>
              <w:t>before</w:t>
            </w:r>
            <w:r w:rsidRPr="00FE19DF">
              <w:rPr>
                <w:spacing w:val="-3"/>
                <w:sz w:val="20"/>
              </w:rPr>
              <w:t xml:space="preserve"> </w:t>
            </w:r>
            <w:r w:rsidRPr="00FE19DF">
              <w:rPr>
                <w:sz w:val="20"/>
              </w:rPr>
              <w:t>MU</w:t>
            </w:r>
            <w:r w:rsidRPr="00FE19DF">
              <w:rPr>
                <w:spacing w:val="-3"/>
                <w:sz w:val="20"/>
              </w:rPr>
              <w:t xml:space="preserve"> </w:t>
            </w:r>
            <w:r w:rsidRPr="00FE19DF">
              <w:rPr>
                <w:sz w:val="20"/>
              </w:rPr>
              <w:t>pays</w:t>
            </w:r>
            <w:r w:rsidRPr="00FE19DF">
              <w:rPr>
                <w:spacing w:val="-4"/>
                <w:sz w:val="20"/>
              </w:rPr>
              <w:t xml:space="preserve"> </w:t>
            </w:r>
            <w:r w:rsidRPr="00FE19DF">
              <w:rPr>
                <w:sz w:val="20"/>
              </w:rPr>
              <w:t>a subrecipient</w:t>
            </w:r>
            <w:r w:rsidRPr="00FE19DF">
              <w:rPr>
                <w:spacing w:val="-4"/>
                <w:sz w:val="20"/>
              </w:rPr>
              <w:t xml:space="preserve"> </w:t>
            </w:r>
            <w:r w:rsidRPr="00FE19DF">
              <w:rPr>
                <w:sz w:val="20"/>
              </w:rPr>
              <w:t>invoice.</w:t>
            </w:r>
            <w:r w:rsidRPr="00FE19DF">
              <w:rPr>
                <w:spacing w:val="-3"/>
                <w:sz w:val="20"/>
              </w:rPr>
              <w:t xml:space="preserve"> </w:t>
            </w:r>
            <w:r w:rsidRPr="00FE19DF">
              <w:rPr>
                <w:sz w:val="20"/>
              </w:rPr>
              <w:t>The</w:t>
            </w:r>
            <w:r w:rsidRPr="00FE19DF">
              <w:rPr>
                <w:spacing w:val="-3"/>
                <w:sz w:val="20"/>
              </w:rPr>
              <w:t xml:space="preserve"> </w:t>
            </w:r>
            <w:r w:rsidRPr="00FE19DF">
              <w:rPr>
                <w:sz w:val="20"/>
              </w:rPr>
              <w:t>language</w:t>
            </w:r>
            <w:r w:rsidRPr="00FE19DF">
              <w:rPr>
                <w:spacing w:val="-3"/>
                <w:sz w:val="20"/>
              </w:rPr>
              <w:t xml:space="preserve"> </w:t>
            </w:r>
            <w:r w:rsidRPr="00FE19DF">
              <w:rPr>
                <w:sz w:val="20"/>
              </w:rPr>
              <w:t>of</w:t>
            </w:r>
            <w:r w:rsidRPr="00FE19DF">
              <w:rPr>
                <w:spacing w:val="-4"/>
                <w:sz w:val="20"/>
              </w:rPr>
              <w:t xml:space="preserve"> </w:t>
            </w:r>
            <w:r w:rsidRPr="00FE19DF">
              <w:rPr>
                <w:sz w:val="20"/>
              </w:rPr>
              <w:t>the</w:t>
            </w:r>
            <w:r w:rsidRPr="00FE19DF">
              <w:rPr>
                <w:spacing w:val="-3"/>
                <w:sz w:val="20"/>
              </w:rPr>
              <w:t xml:space="preserve"> </w:t>
            </w:r>
            <w:r w:rsidRPr="00FE19DF">
              <w:rPr>
                <w:sz w:val="20"/>
              </w:rPr>
              <w:t xml:space="preserve">request-for-approval email has been updated as follows (with new language </w:t>
            </w:r>
            <w:r w:rsidRPr="00FE19DF">
              <w:rPr>
                <w:sz w:val="20"/>
                <w:u w:val="single"/>
              </w:rPr>
              <w:t>underlined</w:t>
            </w:r>
            <w:r w:rsidRPr="00FE19DF">
              <w:rPr>
                <w:sz w:val="20"/>
              </w:rPr>
              <w:t>):</w:t>
            </w:r>
          </w:p>
          <w:p w14:paraId="02CD649E" w14:textId="77777777" w:rsidR="000F4CFF" w:rsidRPr="00FE19DF" w:rsidRDefault="00FE19DF">
            <w:pPr>
              <w:pStyle w:val="TableParagraph"/>
              <w:spacing w:before="1"/>
              <w:ind w:left="537" w:right="96"/>
              <w:jc w:val="both"/>
              <w:rPr>
                <w:i/>
                <w:sz w:val="20"/>
              </w:rPr>
            </w:pPr>
            <w:r w:rsidRPr="00FE19DF">
              <w:rPr>
                <w:i/>
                <w:sz w:val="20"/>
              </w:rPr>
              <w:t>Attached is a subcontractor's invoice that I have already reviewed for compliance</w:t>
            </w:r>
            <w:r w:rsidRPr="00FE19DF">
              <w:rPr>
                <w:i/>
                <w:spacing w:val="40"/>
                <w:sz w:val="20"/>
              </w:rPr>
              <w:t xml:space="preserve"> </w:t>
            </w:r>
            <w:r w:rsidRPr="00FE19DF">
              <w:rPr>
                <w:i/>
                <w:sz w:val="20"/>
              </w:rPr>
              <w:t xml:space="preserve">with the financial terms and conditions of the subcontract. If, to your knowledge, the amount of payment is commensurate with technical progress </w:t>
            </w:r>
            <w:r w:rsidRPr="00FE19DF">
              <w:rPr>
                <w:i/>
                <w:sz w:val="20"/>
                <w:u w:val="single"/>
              </w:rPr>
              <w:t>and all programmatic</w:t>
            </w:r>
            <w:r w:rsidRPr="00FE19DF">
              <w:rPr>
                <w:i/>
                <w:sz w:val="20"/>
              </w:rPr>
              <w:t xml:space="preserve"> </w:t>
            </w:r>
            <w:r w:rsidRPr="00FE19DF">
              <w:rPr>
                <w:i/>
                <w:sz w:val="20"/>
                <w:u w:val="single"/>
              </w:rPr>
              <w:t>reports have been submitted in accordance with the requirements outlined in the</w:t>
            </w:r>
            <w:r w:rsidRPr="00FE19DF">
              <w:rPr>
                <w:i/>
                <w:sz w:val="20"/>
              </w:rPr>
              <w:t xml:space="preserve"> </w:t>
            </w:r>
            <w:r w:rsidRPr="00FE19DF">
              <w:rPr>
                <w:i/>
                <w:sz w:val="20"/>
                <w:u w:val="single"/>
              </w:rPr>
              <w:t>subaward agreement</w:t>
            </w:r>
            <w:r w:rsidRPr="00FE19DF">
              <w:rPr>
                <w:i/>
                <w:sz w:val="20"/>
              </w:rPr>
              <w:t>, please indicate your approval by your positive response to this email. I have summarized the invoice information below.</w:t>
            </w:r>
          </w:p>
          <w:p w14:paraId="1C99C3A3" w14:textId="77777777" w:rsidR="000F4CFF" w:rsidRPr="00FE19DF" w:rsidRDefault="00FE19DF">
            <w:pPr>
              <w:pStyle w:val="TableParagraph"/>
              <w:numPr>
                <w:ilvl w:val="0"/>
                <w:numId w:val="1"/>
              </w:numPr>
              <w:tabs>
                <w:tab w:val="left" w:pos="1167"/>
              </w:tabs>
              <w:spacing w:before="2" w:line="238" w:lineRule="exact"/>
              <w:ind w:left="1167" w:hanging="198"/>
              <w:rPr>
                <w:i/>
                <w:sz w:val="20"/>
              </w:rPr>
            </w:pPr>
            <w:r w:rsidRPr="00FE19DF">
              <w:rPr>
                <w:i/>
                <w:spacing w:val="-2"/>
                <w:sz w:val="20"/>
              </w:rPr>
              <w:t>Sponsor:</w:t>
            </w:r>
          </w:p>
          <w:p w14:paraId="51F30D92" w14:textId="77777777" w:rsidR="000F4CFF" w:rsidRPr="00FE19DF" w:rsidRDefault="00FE19DF">
            <w:pPr>
              <w:pStyle w:val="TableParagraph"/>
              <w:numPr>
                <w:ilvl w:val="0"/>
                <w:numId w:val="1"/>
              </w:numPr>
              <w:tabs>
                <w:tab w:val="left" w:pos="1167"/>
              </w:tabs>
              <w:spacing w:line="234" w:lineRule="exact"/>
              <w:ind w:left="1167" w:hanging="198"/>
              <w:rPr>
                <w:i/>
                <w:sz w:val="20"/>
              </w:rPr>
            </w:pPr>
            <w:r w:rsidRPr="00FE19DF">
              <w:rPr>
                <w:i/>
                <w:spacing w:val="-2"/>
                <w:sz w:val="20"/>
              </w:rPr>
              <w:t>Subcontractor:</w:t>
            </w:r>
          </w:p>
          <w:p w14:paraId="745C8436" w14:textId="77777777" w:rsidR="000F4CFF" w:rsidRPr="00FE19DF" w:rsidRDefault="00FE19DF">
            <w:pPr>
              <w:pStyle w:val="TableParagraph"/>
              <w:numPr>
                <w:ilvl w:val="0"/>
                <w:numId w:val="1"/>
              </w:numPr>
              <w:tabs>
                <w:tab w:val="left" w:pos="1167"/>
              </w:tabs>
              <w:spacing w:line="234" w:lineRule="exact"/>
              <w:ind w:left="1167" w:hanging="198"/>
              <w:rPr>
                <w:i/>
                <w:sz w:val="20"/>
              </w:rPr>
            </w:pPr>
            <w:r w:rsidRPr="00FE19DF">
              <w:rPr>
                <w:i/>
                <w:sz w:val="20"/>
              </w:rPr>
              <w:t>Invoice</w:t>
            </w:r>
            <w:r w:rsidRPr="00FE19DF">
              <w:rPr>
                <w:i/>
                <w:spacing w:val="-4"/>
                <w:sz w:val="20"/>
              </w:rPr>
              <w:t xml:space="preserve"> No.:</w:t>
            </w:r>
          </w:p>
          <w:p w14:paraId="1C48F438" w14:textId="77777777" w:rsidR="000F4CFF" w:rsidRPr="00FE19DF" w:rsidRDefault="00FE19DF">
            <w:pPr>
              <w:pStyle w:val="TableParagraph"/>
              <w:numPr>
                <w:ilvl w:val="0"/>
                <w:numId w:val="1"/>
              </w:numPr>
              <w:tabs>
                <w:tab w:val="left" w:pos="1167"/>
              </w:tabs>
              <w:spacing w:line="232" w:lineRule="exact"/>
              <w:ind w:left="1167" w:hanging="198"/>
              <w:rPr>
                <w:i/>
                <w:sz w:val="20"/>
              </w:rPr>
            </w:pPr>
            <w:r w:rsidRPr="00FE19DF">
              <w:rPr>
                <w:i/>
                <w:spacing w:val="-2"/>
                <w:sz w:val="20"/>
              </w:rPr>
              <w:t>Amount:</w:t>
            </w:r>
          </w:p>
          <w:p w14:paraId="35CDD1B3" w14:textId="77777777" w:rsidR="000F4CFF" w:rsidRPr="00FE19DF" w:rsidRDefault="00FE19DF">
            <w:pPr>
              <w:pStyle w:val="TableParagraph"/>
              <w:ind w:left="537" w:right="103"/>
              <w:jc w:val="both"/>
              <w:rPr>
                <w:i/>
                <w:sz w:val="20"/>
              </w:rPr>
            </w:pPr>
            <w:r w:rsidRPr="00FE19DF">
              <w:rPr>
                <w:i/>
                <w:sz w:val="20"/>
              </w:rPr>
              <w:t>If this is the final invoice from the subcontractor, your positive response authorizing payment will be an indication that all work is completed and any required technical report has been received.</w:t>
            </w:r>
          </w:p>
          <w:p w14:paraId="33F29333" w14:textId="77777777" w:rsidR="000F4CFF" w:rsidRPr="00FE19DF" w:rsidRDefault="00FE19DF">
            <w:pPr>
              <w:pStyle w:val="TableParagraph"/>
              <w:ind w:left="537" w:right="101"/>
              <w:jc w:val="both"/>
              <w:rPr>
                <w:i/>
                <w:sz w:val="20"/>
              </w:rPr>
            </w:pPr>
            <w:r w:rsidRPr="00FE19DF">
              <w:rPr>
                <w:i/>
                <w:sz w:val="20"/>
              </w:rPr>
              <w:t xml:space="preserve">If, for any reason, you feel this invoice, or any part of it, should not be paid </w:t>
            </w:r>
            <w:proofErr w:type="gramStart"/>
            <w:r w:rsidRPr="00FE19DF">
              <w:rPr>
                <w:i/>
                <w:sz w:val="20"/>
              </w:rPr>
              <w:t>as</w:t>
            </w:r>
            <w:proofErr w:type="gramEnd"/>
            <w:r w:rsidRPr="00FE19DF">
              <w:rPr>
                <w:i/>
                <w:sz w:val="20"/>
              </w:rPr>
              <w:t xml:space="preserve"> is, please notify me as soon as possible so that we can work together to solve any concerns with this subcontract payment.</w:t>
            </w:r>
          </w:p>
        </w:tc>
      </w:tr>
    </w:tbl>
    <w:p w14:paraId="070F71EA" w14:textId="7A5770ED" w:rsidR="000F4CFF" w:rsidRPr="00FE19DF" w:rsidRDefault="000F4CFF" w:rsidP="00FE19DF">
      <w:pPr>
        <w:pStyle w:val="BodyText"/>
        <w:spacing w:before="168"/>
        <w:ind w:left="401"/>
      </w:pPr>
    </w:p>
    <w:sectPr w:rsidR="000F4CFF" w:rsidRPr="00FE19DF">
      <w:pgSz w:w="12240" w:h="15840"/>
      <w:pgMar w:top="8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2565A"/>
    <w:multiLevelType w:val="hybridMultilevel"/>
    <w:tmpl w:val="EAF67D5C"/>
    <w:lvl w:ilvl="0" w:tplc="9B86CDF4">
      <w:numFmt w:val="bullet"/>
      <w:lvlText w:val=""/>
      <w:lvlJc w:val="left"/>
      <w:pPr>
        <w:ind w:left="573" w:hanging="360"/>
      </w:pPr>
      <w:rPr>
        <w:rFonts w:ascii="Symbol" w:eastAsia="Symbol" w:hAnsi="Symbol" w:cs="Symbol" w:hint="default"/>
        <w:b w:val="0"/>
        <w:bCs w:val="0"/>
        <w:i w:val="0"/>
        <w:iCs w:val="0"/>
        <w:color w:val="20201F"/>
        <w:spacing w:val="0"/>
        <w:w w:val="99"/>
        <w:sz w:val="20"/>
        <w:szCs w:val="20"/>
        <w:lang w:val="en-US" w:eastAsia="en-US" w:bidi="ar-SA"/>
      </w:rPr>
    </w:lvl>
    <w:lvl w:ilvl="1" w:tplc="9754F9C2">
      <w:numFmt w:val="bullet"/>
      <w:lvlText w:val="•"/>
      <w:lvlJc w:val="left"/>
      <w:pPr>
        <w:ind w:left="1280" w:hanging="360"/>
      </w:pPr>
      <w:rPr>
        <w:rFonts w:hint="default"/>
        <w:lang w:val="en-US" w:eastAsia="en-US" w:bidi="ar-SA"/>
      </w:rPr>
    </w:lvl>
    <w:lvl w:ilvl="2" w:tplc="27901AEC">
      <w:numFmt w:val="bullet"/>
      <w:lvlText w:val="•"/>
      <w:lvlJc w:val="left"/>
      <w:pPr>
        <w:ind w:left="1980" w:hanging="360"/>
      </w:pPr>
      <w:rPr>
        <w:rFonts w:hint="default"/>
        <w:lang w:val="en-US" w:eastAsia="en-US" w:bidi="ar-SA"/>
      </w:rPr>
    </w:lvl>
    <w:lvl w:ilvl="3" w:tplc="25D23D4C">
      <w:numFmt w:val="bullet"/>
      <w:lvlText w:val="•"/>
      <w:lvlJc w:val="left"/>
      <w:pPr>
        <w:ind w:left="2680" w:hanging="360"/>
      </w:pPr>
      <w:rPr>
        <w:rFonts w:hint="default"/>
        <w:lang w:val="en-US" w:eastAsia="en-US" w:bidi="ar-SA"/>
      </w:rPr>
    </w:lvl>
    <w:lvl w:ilvl="4" w:tplc="DCCE80B8">
      <w:numFmt w:val="bullet"/>
      <w:lvlText w:val="•"/>
      <w:lvlJc w:val="left"/>
      <w:pPr>
        <w:ind w:left="3380" w:hanging="360"/>
      </w:pPr>
      <w:rPr>
        <w:rFonts w:hint="default"/>
        <w:lang w:val="en-US" w:eastAsia="en-US" w:bidi="ar-SA"/>
      </w:rPr>
    </w:lvl>
    <w:lvl w:ilvl="5" w:tplc="ABD24130">
      <w:numFmt w:val="bullet"/>
      <w:lvlText w:val="•"/>
      <w:lvlJc w:val="left"/>
      <w:pPr>
        <w:ind w:left="4081" w:hanging="360"/>
      </w:pPr>
      <w:rPr>
        <w:rFonts w:hint="default"/>
        <w:lang w:val="en-US" w:eastAsia="en-US" w:bidi="ar-SA"/>
      </w:rPr>
    </w:lvl>
    <w:lvl w:ilvl="6" w:tplc="42C4E666">
      <w:numFmt w:val="bullet"/>
      <w:lvlText w:val="•"/>
      <w:lvlJc w:val="left"/>
      <w:pPr>
        <w:ind w:left="4781" w:hanging="360"/>
      </w:pPr>
      <w:rPr>
        <w:rFonts w:hint="default"/>
        <w:lang w:val="en-US" w:eastAsia="en-US" w:bidi="ar-SA"/>
      </w:rPr>
    </w:lvl>
    <w:lvl w:ilvl="7" w:tplc="9B24556E">
      <w:numFmt w:val="bullet"/>
      <w:lvlText w:val="•"/>
      <w:lvlJc w:val="left"/>
      <w:pPr>
        <w:ind w:left="5481" w:hanging="360"/>
      </w:pPr>
      <w:rPr>
        <w:rFonts w:hint="default"/>
        <w:lang w:val="en-US" w:eastAsia="en-US" w:bidi="ar-SA"/>
      </w:rPr>
    </w:lvl>
    <w:lvl w:ilvl="8" w:tplc="B678B774">
      <w:numFmt w:val="bullet"/>
      <w:lvlText w:val="•"/>
      <w:lvlJc w:val="left"/>
      <w:pPr>
        <w:ind w:left="6181" w:hanging="360"/>
      </w:pPr>
      <w:rPr>
        <w:rFonts w:hint="default"/>
        <w:lang w:val="en-US" w:eastAsia="en-US" w:bidi="ar-SA"/>
      </w:rPr>
    </w:lvl>
  </w:abstractNum>
  <w:abstractNum w:abstractNumId="1" w15:restartNumberingAfterBreak="0">
    <w:nsid w:val="336035A2"/>
    <w:multiLevelType w:val="hybridMultilevel"/>
    <w:tmpl w:val="82627AF4"/>
    <w:lvl w:ilvl="0" w:tplc="4DDC6D6A">
      <w:numFmt w:val="bullet"/>
      <w:lvlText w:val="·"/>
      <w:lvlJc w:val="left"/>
      <w:pPr>
        <w:ind w:left="1168" w:hanging="200"/>
      </w:pPr>
      <w:rPr>
        <w:rFonts w:ascii="Calibri" w:eastAsia="Calibri" w:hAnsi="Calibri" w:cs="Calibri" w:hint="default"/>
        <w:b w:val="0"/>
        <w:bCs w:val="0"/>
        <w:i w:val="0"/>
        <w:iCs w:val="0"/>
        <w:spacing w:val="0"/>
        <w:w w:val="99"/>
        <w:sz w:val="20"/>
        <w:szCs w:val="20"/>
        <w:lang w:val="en-US" w:eastAsia="en-US" w:bidi="ar-SA"/>
      </w:rPr>
    </w:lvl>
    <w:lvl w:ilvl="1" w:tplc="10862522">
      <w:numFmt w:val="bullet"/>
      <w:lvlText w:val="•"/>
      <w:lvlJc w:val="left"/>
      <w:pPr>
        <w:ind w:left="1802" w:hanging="200"/>
      </w:pPr>
      <w:rPr>
        <w:rFonts w:hint="default"/>
        <w:lang w:val="en-US" w:eastAsia="en-US" w:bidi="ar-SA"/>
      </w:rPr>
    </w:lvl>
    <w:lvl w:ilvl="2" w:tplc="D39ECAF8">
      <w:numFmt w:val="bullet"/>
      <w:lvlText w:val="•"/>
      <w:lvlJc w:val="left"/>
      <w:pPr>
        <w:ind w:left="2444" w:hanging="200"/>
      </w:pPr>
      <w:rPr>
        <w:rFonts w:hint="default"/>
        <w:lang w:val="en-US" w:eastAsia="en-US" w:bidi="ar-SA"/>
      </w:rPr>
    </w:lvl>
    <w:lvl w:ilvl="3" w:tplc="18049298">
      <w:numFmt w:val="bullet"/>
      <w:lvlText w:val="•"/>
      <w:lvlJc w:val="left"/>
      <w:pPr>
        <w:ind w:left="3086" w:hanging="200"/>
      </w:pPr>
      <w:rPr>
        <w:rFonts w:hint="default"/>
        <w:lang w:val="en-US" w:eastAsia="en-US" w:bidi="ar-SA"/>
      </w:rPr>
    </w:lvl>
    <w:lvl w:ilvl="4" w:tplc="45262076">
      <w:numFmt w:val="bullet"/>
      <w:lvlText w:val="•"/>
      <w:lvlJc w:val="left"/>
      <w:pPr>
        <w:ind w:left="3728" w:hanging="200"/>
      </w:pPr>
      <w:rPr>
        <w:rFonts w:hint="default"/>
        <w:lang w:val="en-US" w:eastAsia="en-US" w:bidi="ar-SA"/>
      </w:rPr>
    </w:lvl>
    <w:lvl w:ilvl="5" w:tplc="A7305F8A">
      <w:numFmt w:val="bullet"/>
      <w:lvlText w:val="•"/>
      <w:lvlJc w:val="left"/>
      <w:pPr>
        <w:ind w:left="4371" w:hanging="200"/>
      </w:pPr>
      <w:rPr>
        <w:rFonts w:hint="default"/>
        <w:lang w:val="en-US" w:eastAsia="en-US" w:bidi="ar-SA"/>
      </w:rPr>
    </w:lvl>
    <w:lvl w:ilvl="6" w:tplc="B59229E6">
      <w:numFmt w:val="bullet"/>
      <w:lvlText w:val="•"/>
      <w:lvlJc w:val="left"/>
      <w:pPr>
        <w:ind w:left="5013" w:hanging="200"/>
      </w:pPr>
      <w:rPr>
        <w:rFonts w:hint="default"/>
        <w:lang w:val="en-US" w:eastAsia="en-US" w:bidi="ar-SA"/>
      </w:rPr>
    </w:lvl>
    <w:lvl w:ilvl="7" w:tplc="DCF43AF2">
      <w:numFmt w:val="bullet"/>
      <w:lvlText w:val="•"/>
      <w:lvlJc w:val="left"/>
      <w:pPr>
        <w:ind w:left="5655" w:hanging="200"/>
      </w:pPr>
      <w:rPr>
        <w:rFonts w:hint="default"/>
        <w:lang w:val="en-US" w:eastAsia="en-US" w:bidi="ar-SA"/>
      </w:rPr>
    </w:lvl>
    <w:lvl w:ilvl="8" w:tplc="CBF29C94">
      <w:numFmt w:val="bullet"/>
      <w:lvlText w:val="•"/>
      <w:lvlJc w:val="left"/>
      <w:pPr>
        <w:ind w:left="6297" w:hanging="200"/>
      </w:pPr>
      <w:rPr>
        <w:rFonts w:hint="default"/>
        <w:lang w:val="en-US" w:eastAsia="en-US" w:bidi="ar-SA"/>
      </w:rPr>
    </w:lvl>
  </w:abstractNum>
  <w:abstractNum w:abstractNumId="2" w15:restartNumberingAfterBreak="0">
    <w:nsid w:val="3BC77157"/>
    <w:multiLevelType w:val="hybridMultilevel"/>
    <w:tmpl w:val="C114B474"/>
    <w:lvl w:ilvl="0" w:tplc="79C05DA6">
      <w:numFmt w:val="bullet"/>
      <w:lvlText w:val=""/>
      <w:lvlJc w:val="left"/>
      <w:pPr>
        <w:ind w:left="573" w:hanging="360"/>
      </w:pPr>
      <w:rPr>
        <w:rFonts w:ascii="Symbol" w:eastAsia="Symbol" w:hAnsi="Symbol" w:cs="Symbol" w:hint="default"/>
        <w:b w:val="0"/>
        <w:bCs w:val="0"/>
        <w:i w:val="0"/>
        <w:iCs w:val="0"/>
        <w:spacing w:val="0"/>
        <w:w w:val="99"/>
        <w:sz w:val="20"/>
        <w:szCs w:val="20"/>
        <w:lang w:val="en-US" w:eastAsia="en-US" w:bidi="ar-SA"/>
      </w:rPr>
    </w:lvl>
    <w:lvl w:ilvl="1" w:tplc="3998E220">
      <w:numFmt w:val="bullet"/>
      <w:lvlText w:val="•"/>
      <w:lvlJc w:val="left"/>
      <w:pPr>
        <w:ind w:left="1280" w:hanging="360"/>
      </w:pPr>
      <w:rPr>
        <w:rFonts w:hint="default"/>
        <w:lang w:val="en-US" w:eastAsia="en-US" w:bidi="ar-SA"/>
      </w:rPr>
    </w:lvl>
    <w:lvl w:ilvl="2" w:tplc="9086CA58">
      <w:numFmt w:val="bullet"/>
      <w:lvlText w:val="•"/>
      <w:lvlJc w:val="left"/>
      <w:pPr>
        <w:ind w:left="1980" w:hanging="360"/>
      </w:pPr>
      <w:rPr>
        <w:rFonts w:hint="default"/>
        <w:lang w:val="en-US" w:eastAsia="en-US" w:bidi="ar-SA"/>
      </w:rPr>
    </w:lvl>
    <w:lvl w:ilvl="3" w:tplc="3E1882B8">
      <w:numFmt w:val="bullet"/>
      <w:lvlText w:val="•"/>
      <w:lvlJc w:val="left"/>
      <w:pPr>
        <w:ind w:left="2680" w:hanging="360"/>
      </w:pPr>
      <w:rPr>
        <w:rFonts w:hint="default"/>
        <w:lang w:val="en-US" w:eastAsia="en-US" w:bidi="ar-SA"/>
      </w:rPr>
    </w:lvl>
    <w:lvl w:ilvl="4" w:tplc="56E03F30">
      <w:numFmt w:val="bullet"/>
      <w:lvlText w:val="•"/>
      <w:lvlJc w:val="left"/>
      <w:pPr>
        <w:ind w:left="3380" w:hanging="360"/>
      </w:pPr>
      <w:rPr>
        <w:rFonts w:hint="default"/>
        <w:lang w:val="en-US" w:eastAsia="en-US" w:bidi="ar-SA"/>
      </w:rPr>
    </w:lvl>
    <w:lvl w:ilvl="5" w:tplc="8996D6CC">
      <w:numFmt w:val="bullet"/>
      <w:lvlText w:val="•"/>
      <w:lvlJc w:val="left"/>
      <w:pPr>
        <w:ind w:left="4081" w:hanging="360"/>
      </w:pPr>
      <w:rPr>
        <w:rFonts w:hint="default"/>
        <w:lang w:val="en-US" w:eastAsia="en-US" w:bidi="ar-SA"/>
      </w:rPr>
    </w:lvl>
    <w:lvl w:ilvl="6" w:tplc="E78ECF6C">
      <w:numFmt w:val="bullet"/>
      <w:lvlText w:val="•"/>
      <w:lvlJc w:val="left"/>
      <w:pPr>
        <w:ind w:left="4781" w:hanging="360"/>
      </w:pPr>
      <w:rPr>
        <w:rFonts w:hint="default"/>
        <w:lang w:val="en-US" w:eastAsia="en-US" w:bidi="ar-SA"/>
      </w:rPr>
    </w:lvl>
    <w:lvl w:ilvl="7" w:tplc="2084AE42">
      <w:numFmt w:val="bullet"/>
      <w:lvlText w:val="•"/>
      <w:lvlJc w:val="left"/>
      <w:pPr>
        <w:ind w:left="5481" w:hanging="360"/>
      </w:pPr>
      <w:rPr>
        <w:rFonts w:hint="default"/>
        <w:lang w:val="en-US" w:eastAsia="en-US" w:bidi="ar-SA"/>
      </w:rPr>
    </w:lvl>
    <w:lvl w:ilvl="8" w:tplc="BD502DF6">
      <w:numFmt w:val="bullet"/>
      <w:lvlText w:val="•"/>
      <w:lvlJc w:val="left"/>
      <w:pPr>
        <w:ind w:left="6181" w:hanging="360"/>
      </w:pPr>
      <w:rPr>
        <w:rFonts w:hint="default"/>
        <w:lang w:val="en-US" w:eastAsia="en-US" w:bidi="ar-SA"/>
      </w:rPr>
    </w:lvl>
  </w:abstractNum>
  <w:num w:numId="1" w16cid:durableId="229998509">
    <w:abstractNumId w:val="1"/>
  </w:num>
  <w:num w:numId="2" w16cid:durableId="425544682">
    <w:abstractNumId w:val="2"/>
  </w:num>
  <w:num w:numId="3" w16cid:durableId="53162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F4CFF"/>
    <w:rsid w:val="000F4CFF"/>
    <w:rsid w:val="00896DC5"/>
    <w:rsid w:val="00FE1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B528"/>
  <w15:docId w15:val="{0C5B3D05-E2E2-405E-9BF3-93CF9386E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1"/>
      <w:outlineLvl w:val="0"/>
    </w:pPr>
    <w:rPr>
      <w:b/>
      <w:bCs/>
      <w:sz w:val="28"/>
      <w:szCs w:val="28"/>
    </w:rPr>
  </w:style>
  <w:style w:type="paragraph" w:styleId="Heading2">
    <w:name w:val="heading 2"/>
    <w:basedOn w:val="Normal"/>
    <w:uiPriority w:val="9"/>
    <w:unhideWhenUsed/>
    <w:qFormat/>
    <w:pPr>
      <w:spacing w:before="1"/>
      <w:ind w:left="1711" w:right="1350" w:hanging="3"/>
      <w:jc w:val="center"/>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1033</Words>
  <Characters>5910</Characters>
  <Application>Microsoft Office Word</Application>
  <DocSecurity>0</DocSecurity>
  <Lines>147</Lines>
  <Paragraphs>70</Paragraphs>
  <ScaleCrop>false</ScaleCrop>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Cox</dc:creator>
  <cp:lastModifiedBy>Brune, Hannah</cp:lastModifiedBy>
  <cp:revision>2</cp:revision>
  <dcterms:created xsi:type="dcterms:W3CDTF">2026-04-13T15:42:00Z</dcterms:created>
  <dcterms:modified xsi:type="dcterms:W3CDTF">2026-04-13T15:42:00Z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Acrobat Pro 11.0.0</vt:lpwstr>
  </property>
  <property fmtid="{D5CDD505-2E9C-101B-9397-08002B2CF9AE}" pid="4" name="LastSaved">
    <vt:filetime>2026-04-13T00:00:00Z</vt:filetime>
  </property>
  <property fmtid="{D5CDD505-2E9C-101B-9397-08002B2CF9AE}" pid="5" name="Producer">
    <vt:lpwstr>Adobe Acrobat Pro 11.0.0</vt:lpwstr>
  </property>
</Properties>
</file>