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02AFD" w:rsidR="00F46542" w:rsidP="6055BD06" w:rsidRDefault="00F46542" w14:paraId="5E33DCB4" w14:textId="29165CF7">
      <w:pPr>
        <w:pStyle w:val="Heading2"/>
        <w:spacing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aps w:val="1"/>
          <w:sz w:val="28"/>
          <w:szCs w:val="28"/>
        </w:rPr>
      </w:pPr>
      <w:bookmarkStart w:name="_Toc118704856" w:id="0"/>
      <w:r w:rsidRPr="6055BD06" w:rsidR="1E78239C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8"/>
          <w:szCs w:val="28"/>
        </w:rPr>
        <w:t xml:space="preserve">Gehrke </w:t>
      </w:r>
      <w:r w:rsidRPr="6055BD06" w:rsidR="00F46542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8"/>
          <w:szCs w:val="28"/>
        </w:rPr>
        <w:t>Proteomics Center</w:t>
      </w:r>
      <w:bookmarkEnd w:id="0"/>
    </w:p>
    <w:p w:rsidR="59C2D999" w:rsidP="5A71BCC2" w:rsidRDefault="59C2D999" w14:paraId="643A6E2E" w14:textId="4FDBAFC8">
      <w:pPr>
        <w:pStyle w:val="Normal"/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F688838" w:rsidR="59C2D99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More info: </w:t>
      </w:r>
      <w:hyperlink r:id="R9cd5a3f7fcca4432">
        <w:r w:rsidRPr="3F688838" w:rsidR="59C2D999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https://research.missouri.edu/gehrke-proteomics-center</w:t>
        </w:r>
      </w:hyperlink>
    </w:p>
    <w:p w:rsidR="5A71BCC2" w:rsidP="5A71BCC2" w:rsidRDefault="5A71BCC2" w14:paraId="1A9E872F" w14:textId="142D3120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B13370" w:rsidR="00F46542" w:rsidP="5A71BCC2" w:rsidRDefault="00F46542" w14:paraId="06A6E0CD" w14:textId="1C8F9C99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The Charles W. 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Gehrke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Proteomics Center offers researchers the resources to generate qualitative and quantitative data on proteins linked to growth and disease in plants, 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animals</w:t>
      </w:r>
      <w:r w:rsidRPr="5A71BCC2" w:rsidR="5DF03C2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humans. Using the center’s mass spectrometers and other equipment, scientists isolate, separate, and 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identify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proteins. The information they gain is useful not only in understanding disease mechanism, but also in discovering new drugs and treatments. Insight into protein interaction networks can be obtained using pull-downs of fusion proteins or immunoprecipitation followed by mass spectrometry. These data advance discovery in a wide variety of fields including agriculture, biology, protein biochemistry, molecular biology, analytical chemistry, and bioinformatics.</w:t>
      </w:r>
    </w:p>
    <w:p w:rsidR="00F46542" w:rsidP="5A71BCC2" w:rsidRDefault="00F46542" w14:paraId="4B0AD22B" w14:textId="77777777" w14:noSpellErr="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B13370" w:rsidR="00F46542" w:rsidP="5A71BCC2" w:rsidRDefault="00F46542" w14:paraId="792D9036" w14:textId="49D99646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The </w:t>
      </w:r>
      <w:r w:rsidRPr="5A71BCC2" w:rsidR="7FEB47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enter is approximately 2</w:t>
      </w:r>
      <w:r w:rsidRPr="5A71BCC2" w:rsidR="18B641B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300 </w:t>
      </w:r>
      <w:r w:rsidRPr="5A71BCC2" w:rsidR="4ABBEA7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square feet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in the Bond Life Sciences Center and is equipped with 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state-of-the-art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equipment for protein extraction and advanced mass spectrometry. The </w:t>
      </w:r>
      <w:r w:rsidRPr="5A71BCC2" w:rsidR="2277859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enter 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offer</w:t>
      </w:r>
      <w:r w:rsidRPr="5A71BCC2" w:rsidR="2F8AC4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 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three 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main areas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of analyses: global quantitative proteomics</w:t>
      </w:r>
      <w:r w:rsidRPr="5A71BCC2" w:rsidR="7896D65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intact mass analyses</w:t>
      </w:r>
      <w:r w:rsidRPr="5A71BCC2" w:rsidR="1DDC1F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and targeted quantitation of individual proteins or peptides. </w:t>
      </w:r>
    </w:p>
    <w:p w:rsidR="00F46542" w:rsidP="5A71BCC2" w:rsidRDefault="00F46542" w14:paraId="64026A97" w14:textId="77777777" w14:noSpellErr="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B13370" w:rsidR="00F46542" w:rsidP="5A71BCC2" w:rsidRDefault="00F46542" w14:paraId="4BC0102D" w14:textId="24F7E055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For global analyses, </w:t>
      </w:r>
      <w:r w:rsidRPr="5A71BCC2" w:rsidR="773F6BF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enter employees extract protein from frozen tissue or cell lysates using SOPs, and following trypsin digestion, 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identify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peptides using an NSF-MRI-funded Bruker 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timsTOF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-Pro instrument. The </w:t>
      </w:r>
      <w:r w:rsidRPr="5A71BCC2" w:rsidR="33A1B09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enter has in-house licenses of software for protein identification and quantitation including PEAKS 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XPro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Spectronaut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and Proteome Discoverer. The </w:t>
      </w:r>
      <w:r w:rsidRPr="5A71BCC2" w:rsidR="211BAD7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enter 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provides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validated lists of proteins changing in abundance under the conditions examined.</w:t>
      </w:r>
    </w:p>
    <w:p w:rsidR="00F46542" w:rsidP="5A71BCC2" w:rsidRDefault="00F46542" w14:paraId="223968B7" w14:textId="77777777" w14:noSpellErr="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B13370" w:rsidR="00F46542" w:rsidP="5A71BCC2" w:rsidRDefault="00F46542" w14:paraId="0F72EA35" w14:textId="2913B57A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Intact mass and 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accurate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mass analyses (e.g., of synthetic therapeutic peptides, recombinant proteins, or oligonucleotides) </w:t>
      </w:r>
      <w:r w:rsidRPr="5A71BCC2" w:rsidR="3EA7F2D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are 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conducted using Agilent QTOF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or 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ermo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Scientific LTQ Orbitrap instruments. This approach can be used to confirm fidelity of synthesis or stoichiometry of protein or DNA labeling, for example.</w:t>
      </w:r>
    </w:p>
    <w:p w:rsidR="00F46542" w:rsidP="5A71BCC2" w:rsidRDefault="00F46542" w14:paraId="468FAFCC" w14:textId="77777777" w14:noSpellErr="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B13370" w:rsidR="00F46542" w:rsidP="5A71BCC2" w:rsidRDefault="00F46542" w14:paraId="1157F5F6" w14:textId="77777777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Targeted quantitation of peptides (e.g., phosphorylation site stoichiometry) or proteins (e.g., disease biomarkers) is conducted using LCM-MRM on a 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Thermo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Scientific 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Quantiva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QQQ instrument and Skyline software. Known biomarkers of disease can be quantified in 10s to 100s of samples using this technique, with increased specificity compared to ELISA or Westerns.</w:t>
      </w:r>
    </w:p>
    <w:p w:rsidR="00F46542" w:rsidP="5A71BCC2" w:rsidRDefault="00F46542" w14:paraId="76839177" w14:textId="77777777" w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F46542" w:rsidR="009C2277" w:rsidP="5A71BCC2" w:rsidRDefault="009C2277" w14:paraId="668AB253" w14:textId="3D669A0F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The </w:t>
      </w:r>
      <w:r w:rsidRPr="5A71BCC2" w:rsidR="7A5DD5B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enter emphasizes its full-service aspect by always involving staff and investigators throughout sample analyses.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Center employees 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facilitate</w:t>
      </w:r>
      <w:r w:rsidRPr="5A71BCC2" w:rsidR="00F465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experimental design, data analysis, manuscript figure/methods preparation, grant application figures, methods, and facilities description preparation.</w:t>
      </w:r>
    </w:p>
    <w:sectPr w:rsidRPr="00F46542" w:rsidR="009C227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86E03"/>
    <w:multiLevelType w:val="hybridMultilevel"/>
    <w:tmpl w:val="102E129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C30E3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F638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768B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187F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9A17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80DA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409C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C8CE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EBB4FD"/>
    <w:multiLevelType w:val="hybridMultilevel"/>
    <w:tmpl w:val="D5C6B5AC"/>
    <w:lvl w:ilvl="0" w:tplc="2C0C54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0CEF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B8A0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1659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306A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7672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7093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0EC3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60EF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73487915">
    <w:abstractNumId w:val="0"/>
  </w:num>
  <w:num w:numId="2" w16cid:durableId="884292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0C"/>
    <w:rsid w:val="00012632"/>
    <w:rsid w:val="00096F2D"/>
    <w:rsid w:val="0011115E"/>
    <w:rsid w:val="001860DF"/>
    <w:rsid w:val="00247818"/>
    <w:rsid w:val="0029740F"/>
    <w:rsid w:val="003867AC"/>
    <w:rsid w:val="00554DDD"/>
    <w:rsid w:val="005F01B0"/>
    <w:rsid w:val="006D7235"/>
    <w:rsid w:val="00725675"/>
    <w:rsid w:val="007A6465"/>
    <w:rsid w:val="008B6B2B"/>
    <w:rsid w:val="009C2277"/>
    <w:rsid w:val="00AD290C"/>
    <w:rsid w:val="00AF4AC4"/>
    <w:rsid w:val="00B85DB0"/>
    <w:rsid w:val="00BD4882"/>
    <w:rsid w:val="00E8525B"/>
    <w:rsid w:val="00F46542"/>
    <w:rsid w:val="1071DC15"/>
    <w:rsid w:val="18B641BA"/>
    <w:rsid w:val="1DDC1F81"/>
    <w:rsid w:val="1DE731B4"/>
    <w:rsid w:val="1E78239C"/>
    <w:rsid w:val="211BAD73"/>
    <w:rsid w:val="22778598"/>
    <w:rsid w:val="2F8AC485"/>
    <w:rsid w:val="32FB6643"/>
    <w:rsid w:val="33A1B09A"/>
    <w:rsid w:val="3EA7F2DB"/>
    <w:rsid w:val="3F688838"/>
    <w:rsid w:val="4ABBEA73"/>
    <w:rsid w:val="59C2D999"/>
    <w:rsid w:val="5A71BCC2"/>
    <w:rsid w:val="5DF03C24"/>
    <w:rsid w:val="6055BD06"/>
    <w:rsid w:val="6A7672E4"/>
    <w:rsid w:val="773F6BFE"/>
    <w:rsid w:val="7896D65A"/>
    <w:rsid w:val="7A5DD5B8"/>
    <w:rsid w:val="7FEB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E6BA"/>
  <w15:chartTrackingRefBased/>
  <w15:docId w15:val="{B0AC843B-5F28-4EE2-9D48-A5BB4CEE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290C"/>
    <w:pPr>
      <w:spacing w:after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290C"/>
    <w:pPr>
      <w:outlineLvl w:val="1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semiHidden/>
    <w:rsid w:val="00AD290C"/>
    <w:rPr>
      <w:rFonts w:ascii="Arial" w:hAnsi="Arial" w:cs="Arial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96F2D"/>
    <w:pPr>
      <w:ind w:left="720"/>
      <w:contextualSpacing/>
    </w:pPr>
    <w:rPr>
      <w:rFonts w:ascii="Times" w:hAnsi="Times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7818"/>
    <w:rPr>
      <w:color w:val="0000FF"/>
      <w:u w:val="single"/>
    </w:rPr>
  </w:style>
  <w:style w:type="paragraph" w:styleId="Default" w:customStyle="1">
    <w:name w:val="Default"/>
    <w:rsid w:val="00F46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earch.missouri.edu/gehrke-proteomics-center" TargetMode="External" Id="R9cd5a3f7fcca44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Polasky, Sarah</dc:creator>
  <keywords/>
  <dc:description/>
  <lastModifiedBy>Bruno, Angela</lastModifiedBy>
  <revision>5</revision>
  <dcterms:created xsi:type="dcterms:W3CDTF">2023-05-11T16:09:00.0000000Z</dcterms:created>
  <dcterms:modified xsi:type="dcterms:W3CDTF">2023-09-11T20:43:31.6978662Z</dcterms:modified>
</coreProperties>
</file>