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5A81" w14:textId="77777777" w:rsidR="003A0443" w:rsidRDefault="005B4B96" w:rsidP="60588710">
      <w:pPr>
        <w:spacing w:line="240" w:lineRule="auto"/>
        <w:contextualSpacing/>
        <w:jc w:val="right"/>
      </w:pPr>
      <w:r>
        <w:rPr>
          <w:noProof/>
        </w:rPr>
        <mc:AlternateContent>
          <mc:Choice Requires="wps">
            <w:drawing>
              <wp:inline distT="45720" distB="45720" distL="114300" distR="114300" wp14:anchorId="2C72AE20" wp14:editId="6B37D33E">
                <wp:extent cx="1472565" cy="1404620"/>
                <wp:effectExtent l="0" t="0" r="0" b="3810"/>
                <wp:docPr id="1968656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1404620"/>
                        </a:xfrm>
                        <a:prstGeom prst="rect">
                          <a:avLst/>
                        </a:prstGeom>
                        <a:noFill/>
                        <a:ln w="9525">
                          <a:noFill/>
                          <a:miter lim="800000"/>
                          <a:headEnd/>
                          <a:tailEnd/>
                        </a:ln>
                      </wps:spPr>
                      <wps:txbx>
                        <w:txbxContent>
                          <w:p w14:paraId="2676EF12" w14:textId="6D56525A" w:rsidR="003A0443" w:rsidRPr="003A0443" w:rsidRDefault="003A0443" w:rsidP="003A0443">
                            <w:pPr>
                              <w:spacing w:line="240" w:lineRule="auto"/>
                              <w:contextualSpacing/>
                              <w:jc w:val="right"/>
                              <w:rPr>
                                <w:rFonts w:ascii="Cambria" w:hAnsi="Cambria"/>
                                <w:color w:val="82695E" w:themeColor="background2" w:themeShade="80"/>
                              </w:rPr>
                            </w:pPr>
                            <w:r w:rsidRPr="003A0443">
                              <w:rPr>
                                <w:rFonts w:ascii="Cambria" w:hAnsi="Cambria"/>
                                <w:color w:val="82695E" w:themeColor="background2" w:themeShade="80"/>
                              </w:rPr>
                              <w:t xml:space="preserve">Policies, </w:t>
                            </w:r>
                            <w:r w:rsidR="00C275FA">
                              <w:rPr>
                                <w:rFonts w:ascii="Cambria" w:hAnsi="Cambria"/>
                                <w:color w:val="82695E" w:themeColor="background2" w:themeShade="80"/>
                              </w:rPr>
                              <w:t>Guidelines</w:t>
                            </w:r>
                            <w:r w:rsidRPr="003A0443">
                              <w:rPr>
                                <w:rFonts w:ascii="Cambria" w:hAnsi="Cambria"/>
                                <w:color w:val="82695E" w:themeColor="background2" w:themeShade="80"/>
                              </w:rPr>
                              <w:t xml:space="preserve">, </w:t>
                            </w:r>
                          </w:p>
                          <w:p w14:paraId="3BBE3CFD" w14:textId="77777777" w:rsidR="003A0443" w:rsidRDefault="003A0443" w:rsidP="005B4B96">
                            <w:pPr>
                              <w:spacing w:line="240" w:lineRule="auto"/>
                              <w:contextualSpacing/>
                              <w:jc w:val="right"/>
                            </w:pPr>
                            <w:r w:rsidRPr="003A0443">
                              <w:rPr>
                                <w:rFonts w:ascii="Cambria" w:hAnsi="Cambria"/>
                                <w:color w:val="82695E" w:themeColor="background2" w:themeShade="80"/>
                              </w:rPr>
                              <w:t>and Procedures</w:t>
                            </w:r>
                          </w:p>
                        </w:txbxContent>
                      </wps:txbx>
                      <wps:bodyPr rot="0" vert="horz" wrap="square" lIns="91440" tIns="45720" rIns="91440" bIns="45720" anchor="t" anchorCtr="0">
                        <a:spAutoFit/>
                      </wps:bodyPr>
                    </wps:wsp>
                  </a:graphicData>
                </a:graphic>
              </wp:inline>
            </w:drawing>
          </mc:Choice>
          <mc:Fallback>
            <w:pict>
              <v:shapetype w14:anchorId="2C72AE20" id="_x0000_t202" coordsize="21600,21600" o:spt="202" path="m,l,21600r21600,l21600,xe">
                <v:stroke joinstyle="miter"/>
                <v:path gradientshapeok="t" o:connecttype="rect"/>
              </v:shapetype>
              <v:shape id="Text Box 2" o:spid="_x0000_s1026" type="#_x0000_t202" style="width:115.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9+g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" filled="f" stroked="f">
                <v:textbox style="mso-fit-shape-to-text:t">
                  <w:txbxContent>
                    <w:p w14:paraId="2676EF12" w14:textId="6D56525A" w:rsidR="003A0443" w:rsidRPr="003A0443" w:rsidRDefault="003A0443" w:rsidP="003A0443">
                      <w:pPr>
                        <w:spacing w:line="240" w:lineRule="auto"/>
                        <w:contextualSpacing/>
                        <w:jc w:val="right"/>
                        <w:rPr>
                          <w:rFonts w:ascii="Cambria" w:hAnsi="Cambria"/>
                          <w:color w:val="82695E" w:themeColor="background2" w:themeShade="80"/>
                        </w:rPr>
                      </w:pPr>
                      <w:r w:rsidRPr="003A0443">
                        <w:rPr>
                          <w:rFonts w:ascii="Cambria" w:hAnsi="Cambria"/>
                          <w:color w:val="82695E" w:themeColor="background2" w:themeShade="80"/>
                        </w:rPr>
                        <w:t xml:space="preserve">Policies, </w:t>
                      </w:r>
                      <w:r w:rsidR="00C275FA">
                        <w:rPr>
                          <w:rFonts w:ascii="Cambria" w:hAnsi="Cambria"/>
                          <w:color w:val="82695E" w:themeColor="background2" w:themeShade="80"/>
                        </w:rPr>
                        <w:t>Guidelines</w:t>
                      </w:r>
                      <w:r w:rsidRPr="003A0443">
                        <w:rPr>
                          <w:rFonts w:ascii="Cambria" w:hAnsi="Cambria"/>
                          <w:color w:val="82695E" w:themeColor="background2" w:themeShade="80"/>
                        </w:rPr>
                        <w:t xml:space="preserve">, </w:t>
                      </w:r>
                    </w:p>
                    <w:p w14:paraId="3BBE3CFD" w14:textId="77777777" w:rsidR="003A0443" w:rsidRDefault="003A0443" w:rsidP="005B4B96">
                      <w:pPr>
                        <w:spacing w:line="240" w:lineRule="auto"/>
                        <w:contextualSpacing/>
                        <w:jc w:val="right"/>
                      </w:pPr>
                      <w:r w:rsidRPr="003A0443">
                        <w:rPr>
                          <w:rFonts w:ascii="Cambria" w:hAnsi="Cambria"/>
                          <w:color w:val="82695E" w:themeColor="background2" w:themeShade="80"/>
                        </w:rPr>
                        <w:t>and Procedures</w:t>
                      </w:r>
                    </w:p>
                  </w:txbxContent>
                </v:textbox>
                <w10:anchorlock/>
              </v:shape>
            </w:pict>
          </mc:Fallback>
        </mc:AlternateContent>
      </w:r>
      <w:r>
        <w:rPr>
          <w:noProof/>
        </w:rPr>
        <w:drawing>
          <wp:anchor distT="0" distB="0" distL="114300" distR="114300" simplePos="0" relativeHeight="251658240" behindDoc="0" locked="0" layoutInCell="1" allowOverlap="1" wp14:anchorId="71B153F6" wp14:editId="1E9E894F">
            <wp:simplePos x="0" y="0"/>
            <wp:positionH relativeFrom="margin">
              <wp:posOffset>635</wp:posOffset>
            </wp:positionH>
            <wp:positionV relativeFrom="paragraph">
              <wp:posOffset>0</wp:posOffset>
            </wp:positionV>
            <wp:extent cx="2459990" cy="485775"/>
            <wp:effectExtent l="0" t="0" r="0" b="0"/>
            <wp:wrapSquare wrapText="bothSides"/>
            <wp:docPr id="1" name="Picture 1" descr="MU logo with University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 logo with University of Missou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9990" cy="485775"/>
                    </a:xfrm>
                    <a:prstGeom prst="rect">
                      <a:avLst/>
                    </a:prstGeom>
                    <a:noFill/>
                    <a:ln>
                      <a:noFill/>
                    </a:ln>
                  </pic:spPr>
                </pic:pic>
              </a:graphicData>
            </a:graphic>
          </wp:anchor>
        </w:drawing>
      </w:r>
    </w:p>
    <w:p w14:paraId="35F3DEFB" w14:textId="77777777" w:rsidR="003A0443" w:rsidRPr="003A0443" w:rsidRDefault="006B10A4" w:rsidP="003A0443">
      <w:pPr>
        <w:spacing w:line="240" w:lineRule="auto"/>
        <w:contextualSpacing/>
        <w:rPr>
          <w:rFonts w:ascii="Cambria" w:hAnsi="Cambria"/>
          <w:sz w:val="24"/>
          <w:szCs w:val="24"/>
        </w:rPr>
      </w:pPr>
      <w:r>
        <w:rPr>
          <w:rFonts w:ascii="Cambria" w:hAnsi="Cambria"/>
          <w:sz w:val="24"/>
          <w:szCs w:val="24"/>
        </w:rPr>
        <w:t xml:space="preserve">Division </w:t>
      </w:r>
      <w:r w:rsidR="003A0443" w:rsidRPr="003A0443">
        <w:rPr>
          <w:rFonts w:ascii="Cambria" w:hAnsi="Cambria"/>
          <w:sz w:val="24"/>
          <w:szCs w:val="24"/>
        </w:rPr>
        <w:t>Research, Innovation, &amp; Impact</w:t>
      </w:r>
    </w:p>
    <w:p w14:paraId="67BE0E09" w14:textId="77777777" w:rsidR="003A0443" w:rsidRDefault="003A0443" w:rsidP="003A0443">
      <w:pPr>
        <w:spacing w:line="240" w:lineRule="auto"/>
        <w:contextualSpacing/>
        <w:rPr>
          <w:rFonts w:ascii="Cambria" w:hAnsi="Cambria"/>
          <w:i/>
          <w:iCs/>
        </w:rPr>
      </w:pPr>
      <w:r w:rsidRPr="003A0443">
        <w:rPr>
          <w:rFonts w:ascii="Cambria" w:hAnsi="Cambria"/>
          <w:i/>
          <w:iCs/>
        </w:rPr>
        <w:t>Institutional Biosafety Committee</w:t>
      </w:r>
    </w:p>
    <w:p w14:paraId="012D5AB9" w14:textId="77777777" w:rsidR="005B4B96" w:rsidRPr="003A0443" w:rsidRDefault="005B4B96" w:rsidP="003A0443">
      <w:pPr>
        <w:spacing w:line="240" w:lineRule="auto"/>
        <w:contextualSpacing/>
        <w:rPr>
          <w:rFonts w:ascii="Cambria" w:hAnsi="Cambria"/>
        </w:rPr>
      </w:pPr>
    </w:p>
    <w:p w14:paraId="43FE0A74" w14:textId="77777777" w:rsidR="003A0443" w:rsidRPr="003A0443" w:rsidRDefault="005B4B96" w:rsidP="60588710">
      <w:pPr>
        <w:spacing w:line="240" w:lineRule="auto"/>
        <w:contextualSpacing/>
        <w:rPr>
          <w:rFonts w:ascii="Cambria" w:hAnsi="Cambria"/>
        </w:rPr>
      </w:pPr>
      <w:r w:rsidRPr="007D2C15">
        <w:rPr>
          <w:rFonts w:ascii="Cambria" w:hAnsi="Cambria"/>
          <w:noProof/>
        </w:rPr>
        <mc:AlternateContent>
          <mc:Choice Requires="wpg">
            <w:drawing>
              <wp:anchor distT="0" distB="0" distL="114300" distR="114300" simplePos="0" relativeHeight="251658241" behindDoc="0" locked="0" layoutInCell="1" allowOverlap="1" wp14:anchorId="7AFA2FF6" wp14:editId="6B0EFA62">
                <wp:simplePos x="0" y="0"/>
                <wp:positionH relativeFrom="column">
                  <wp:posOffset>-812</wp:posOffset>
                </wp:positionH>
                <wp:positionV relativeFrom="paragraph">
                  <wp:posOffset>38141</wp:posOffset>
                </wp:positionV>
                <wp:extent cx="6858811" cy="116840"/>
                <wp:effectExtent l="38100" t="38100" r="56515" b="92710"/>
                <wp:wrapNone/>
                <wp:docPr id="5" name="Group 7"/>
                <wp:cNvGraphicFramePr/>
                <a:graphic xmlns:a="http://schemas.openxmlformats.org/drawingml/2006/main">
                  <a:graphicData uri="http://schemas.microsoft.com/office/word/2010/wordprocessingGroup">
                    <wpg:wgp>
                      <wpg:cNvGrpSpPr/>
                      <wpg:grpSpPr>
                        <a:xfrm>
                          <a:off x="0" y="0"/>
                          <a:ext cx="6858811" cy="116840"/>
                          <a:chOff x="0" y="0"/>
                          <a:chExt cx="6633210" cy="116840"/>
                        </a:xfrm>
                        <a:effectLst>
                          <a:outerShdw blurRad="50800" dist="38100" dir="2700000" algn="tl" rotWithShape="0">
                            <a:prstClr val="black">
                              <a:alpha val="40000"/>
                            </a:prstClr>
                          </a:outerShdw>
                        </a:effectLst>
                      </wpg:grpSpPr>
                      <wps:wsp>
                        <wps:cNvPr id="6" name="Rectangle 6"/>
                        <wps:cNvSpPr/>
                        <wps:spPr>
                          <a:xfrm>
                            <a:off x="0" y="71755"/>
                            <a:ext cx="6631940" cy="45085"/>
                          </a:xfrm>
                          <a:prstGeom prst="rect">
                            <a:avLst/>
                          </a:prstGeom>
                          <a:solidFill>
                            <a:schemeClr val="tx1"/>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270" y="0"/>
                            <a:ext cx="6631940" cy="45085"/>
                          </a:xfrm>
                          <a:prstGeom prst="rect">
                            <a:avLst/>
                          </a:prstGeom>
                          <a:solidFill>
                            <a:srgbClr val="EDB72D"/>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7" style="position:absolute;margin-left:-.05pt;margin-top:3pt;width:540.05pt;height:9.2pt;z-index:251658242;mso-width-relative:margin" coordsize="66332,1168" o:spid="_x0000_s1026" w14:anchorId="7AC75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">
                <v:rect id="Rectangle 6" style="position:absolute;top:717;width:66319;height:45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"/>
                <v:rect id="Rectangle 7" style="position:absolute;left:12;width:66320;height:450;visibility:visible;mso-wrap-style:square;v-text-anchor:middle" o:spid="_x0000_s1028" fillcolor="#edb72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"/>
              </v:group>
            </w:pict>
          </mc:Fallback>
        </mc:AlternateContent>
      </w:r>
      <w:r w:rsidR="007D2C15" w:rsidRPr="007D2C15">
        <w:rPr>
          <w:rFonts w:ascii="Cambria" w:hAnsi="Cambria"/>
          <w:noProof/>
        </w:rPr>
        <mc:AlternateContent>
          <mc:Choice Requires="wps">
            <w:drawing>
              <wp:anchor distT="45720" distB="45720" distL="114300" distR="114300" simplePos="0" relativeHeight="251658242" behindDoc="0" locked="0" layoutInCell="1" allowOverlap="1" wp14:anchorId="38A871EB" wp14:editId="31272900">
                <wp:simplePos x="0" y="0"/>
                <wp:positionH relativeFrom="margin">
                  <wp:posOffset>973</wp:posOffset>
                </wp:positionH>
                <wp:positionV relativeFrom="paragraph">
                  <wp:posOffset>233964</wp:posOffset>
                </wp:positionV>
                <wp:extent cx="6858635" cy="509905"/>
                <wp:effectExtent l="38100" t="38100" r="94615" b="996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509905"/>
                        </a:xfrm>
                        <a:prstGeom prst="rect">
                          <a:avLst/>
                        </a:prstGeom>
                        <a:solidFill>
                          <a:schemeClr val="tx1"/>
                        </a:solidFill>
                        <a:ln w="9525">
                          <a:noFill/>
                          <a:miter lim="800000"/>
                          <a:headEnd/>
                          <a:tailEnd/>
                        </a:ln>
                        <a:effectLst>
                          <a:outerShdw blurRad="50800" dist="38100" dir="2700000" algn="tl" rotWithShape="0">
                            <a:prstClr val="black">
                              <a:alpha val="40000"/>
                            </a:prstClr>
                          </a:outerShdw>
                        </a:effectLst>
                      </wps:spPr>
                      <wps:txbx>
                        <w:txbxContent>
                          <w:p w14:paraId="20D73139" w14:textId="77777777" w:rsidR="00C275FA" w:rsidRPr="005B4B96" w:rsidRDefault="00C275FA" w:rsidP="007D2C15">
                            <w:pPr>
                              <w:spacing w:line="240" w:lineRule="auto"/>
                              <w:contextualSpacing/>
                              <w:rPr>
                                <w:rFonts w:ascii="Cambria" w:hAnsi="Cambria"/>
                                <w:sz w:val="40"/>
                                <w:szCs w:val="40"/>
                              </w:rPr>
                            </w:pPr>
                            <w:r>
                              <w:rPr>
                                <w:rFonts w:ascii="Cambria" w:hAnsi="Cambria"/>
                                <w:sz w:val="40"/>
                                <w:szCs w:val="40"/>
                              </w:rPr>
                              <w:t xml:space="preserve">IBC </w:t>
                            </w:r>
                            <w:r w:rsidRPr="005B4B96">
                              <w:rPr>
                                <w:rFonts w:ascii="Cambria" w:hAnsi="Cambria"/>
                                <w:sz w:val="40"/>
                                <w:szCs w:val="40"/>
                              </w:rPr>
                              <w:t>Policy:</w:t>
                            </w:r>
                            <w:r>
                              <w:rPr>
                                <w:rFonts w:ascii="Cambria" w:hAnsi="Cambria"/>
                                <w:sz w:val="40"/>
                                <w:szCs w:val="40"/>
                              </w:rPr>
                              <w:t xml:space="preserve"> Toxins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871EB" id="_x0000_s1027" type="#_x0000_t202" style="position:absolute;margin-left:.1pt;margin-top:18.4pt;width:540.05pt;height:40.1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" fillcolor="black [3213]" stroked="f">
                <v:shadow on="t" color="black" opacity="26214f" origin="-.5,-.5" offset=".74836mm,.74836mm"/>
                <v:textbox style="mso-fit-shape-to-text:t">
                  <w:txbxContent>
                    <w:p w14:paraId="20D73139" w14:textId="77777777" w:rsidR="00C275FA" w:rsidRPr="005B4B96" w:rsidRDefault="00C275FA" w:rsidP="007D2C15">
                      <w:pPr>
                        <w:spacing w:line="240" w:lineRule="auto"/>
                        <w:contextualSpacing/>
                        <w:rPr>
                          <w:rFonts w:ascii="Cambria" w:hAnsi="Cambria"/>
                          <w:sz w:val="40"/>
                          <w:szCs w:val="40"/>
                        </w:rPr>
                      </w:pPr>
                      <w:r>
                        <w:rPr>
                          <w:rFonts w:ascii="Cambria" w:hAnsi="Cambria"/>
                          <w:sz w:val="40"/>
                          <w:szCs w:val="40"/>
                        </w:rPr>
                        <w:t xml:space="preserve">IBC </w:t>
                      </w:r>
                      <w:r w:rsidRPr="005B4B96">
                        <w:rPr>
                          <w:rFonts w:ascii="Cambria" w:hAnsi="Cambria"/>
                          <w:sz w:val="40"/>
                          <w:szCs w:val="40"/>
                        </w:rPr>
                        <w:t>Policy:</w:t>
                      </w:r>
                      <w:r>
                        <w:rPr>
                          <w:rFonts w:ascii="Cambria" w:hAnsi="Cambria"/>
                          <w:sz w:val="40"/>
                          <w:szCs w:val="40"/>
                        </w:rPr>
                        <w:t xml:space="preserve"> Toxins</w:t>
                      </w:r>
                    </w:p>
                  </w:txbxContent>
                </v:textbox>
                <w10:wrap type="square" anchorx="margin"/>
              </v:shape>
            </w:pict>
          </mc:Fallback>
        </mc:AlternateContent>
      </w:r>
    </w:p>
    <w:p w14:paraId="03E3D42B" w14:textId="4290BAA7" w:rsidR="003A0443" w:rsidRDefault="003A0443" w:rsidP="60588710">
      <w:pPr>
        <w:spacing w:line="240" w:lineRule="auto"/>
        <w:contextualSpacing/>
        <w:rPr>
          <w:rFonts w:ascii="Cambria" w:hAnsi="Cambria"/>
        </w:rPr>
      </w:pPr>
      <w:r w:rsidRPr="60588710">
        <w:rPr>
          <w:rFonts w:ascii="Cambria" w:hAnsi="Cambria"/>
        </w:rPr>
        <w:t>Last reviewed date:</w:t>
      </w:r>
      <w:r w:rsidR="00B9051A">
        <w:rPr>
          <w:rFonts w:ascii="Cambria" w:hAnsi="Cambria"/>
        </w:rPr>
        <w:t xml:space="preserve"> </w:t>
      </w:r>
      <w:r w:rsidR="00E60B03">
        <w:rPr>
          <w:rFonts w:ascii="Cambria" w:hAnsi="Cambria"/>
        </w:rPr>
        <w:t>8/13/2023</w:t>
      </w:r>
    </w:p>
    <w:p w14:paraId="3794C27C" w14:textId="64AC1676" w:rsidR="003A0443" w:rsidRDefault="005B4B96" w:rsidP="003A0443">
      <w:pPr>
        <w:spacing w:line="240" w:lineRule="auto"/>
        <w:contextualSpacing/>
        <w:rPr>
          <w:rFonts w:ascii="Cambria" w:hAnsi="Cambria"/>
        </w:rPr>
      </w:pPr>
      <w:r>
        <w:rPr>
          <w:rFonts w:ascii="Cambria" w:hAnsi="Cambria"/>
        </w:rPr>
        <w:t>Adoption</w:t>
      </w:r>
      <w:r w:rsidR="003A0443">
        <w:rPr>
          <w:rFonts w:ascii="Cambria" w:hAnsi="Cambria"/>
        </w:rPr>
        <w:t xml:space="preserve"> date:</w:t>
      </w:r>
      <w:r w:rsidR="00B9051A">
        <w:rPr>
          <w:rFonts w:ascii="Cambria" w:hAnsi="Cambria"/>
        </w:rPr>
        <w:t xml:space="preserve"> 4/2/2026</w:t>
      </w:r>
    </w:p>
    <w:p w14:paraId="60F5E836" w14:textId="0264F1F9" w:rsidR="003A0443" w:rsidRDefault="003A0443" w:rsidP="003A0443">
      <w:pPr>
        <w:spacing w:line="240" w:lineRule="auto"/>
        <w:contextualSpacing/>
        <w:rPr>
          <w:rFonts w:ascii="Cambria" w:hAnsi="Cambria"/>
        </w:rPr>
      </w:pPr>
      <w:r>
        <w:rPr>
          <w:rFonts w:ascii="Cambria" w:hAnsi="Cambria"/>
        </w:rPr>
        <w:t>For more information contact:</w:t>
      </w:r>
      <w:r w:rsidR="00215D70">
        <w:rPr>
          <w:rFonts w:ascii="Cambria" w:hAnsi="Cambria"/>
        </w:rPr>
        <w:t xml:space="preserve"> EHS</w:t>
      </w:r>
      <w:r w:rsidR="00B9051A">
        <w:rPr>
          <w:rFonts w:ascii="Cambria" w:hAnsi="Cambria"/>
        </w:rPr>
        <w:t>, David Rehard</w:t>
      </w:r>
    </w:p>
    <w:p w14:paraId="54DA3F4D" w14:textId="77777777" w:rsidR="00AB0AF0" w:rsidRDefault="00AB0AF0" w:rsidP="003A0443">
      <w:pPr>
        <w:spacing w:line="240" w:lineRule="auto"/>
        <w:contextualSpacing/>
        <w:rPr>
          <w:rFonts w:ascii="Cambria" w:hAnsi="Cambria"/>
        </w:rPr>
      </w:pPr>
    </w:p>
    <w:p w14:paraId="53BB4516" w14:textId="77777777" w:rsidR="00AB0AF0" w:rsidRPr="00AB0AF0" w:rsidRDefault="00AB0AF0" w:rsidP="00DB7C26">
      <w:pPr>
        <w:pStyle w:val="NormalWeb"/>
        <w:spacing w:before="0" w:beforeAutospacing="0" w:after="160" w:afterAutospacing="0"/>
        <w:contextualSpacing/>
        <w:rPr>
          <w:rFonts w:ascii="Cambria" w:hAnsi="Cambria" w:cs="Calibri"/>
          <w:sz w:val="22"/>
          <w:szCs w:val="22"/>
        </w:rPr>
      </w:pPr>
      <w:r w:rsidRPr="00AB0AF0">
        <w:rPr>
          <w:rFonts w:ascii="Cambria" w:hAnsi="Cambria" w:cs="Calibri"/>
          <w:b/>
          <w:bCs/>
          <w:sz w:val="22"/>
          <w:szCs w:val="22"/>
        </w:rPr>
        <w:t>Policy Statement</w:t>
      </w:r>
    </w:p>
    <w:p w14:paraId="52564E35" w14:textId="77777777" w:rsidR="00D63157" w:rsidRDefault="00D63157" w:rsidP="0D2E524C">
      <w:pPr>
        <w:spacing w:line="240" w:lineRule="auto"/>
        <w:contextualSpacing/>
        <w:rPr>
          <w:rFonts w:ascii="Cambria" w:hAnsi="Cambria"/>
        </w:rPr>
      </w:pPr>
      <w:r w:rsidRPr="0D2E524C">
        <w:rPr>
          <w:rFonts w:ascii="Cambria" w:hAnsi="Cambria"/>
        </w:rPr>
        <w:t xml:space="preserve">This policy establishes the requirements for </w:t>
      </w:r>
      <w:r w:rsidR="205A1B3B" w:rsidRPr="0D2E524C">
        <w:rPr>
          <w:rFonts w:ascii="Cambria" w:hAnsi="Cambria"/>
        </w:rPr>
        <w:t>safe</w:t>
      </w:r>
      <w:r w:rsidRPr="0D2E524C">
        <w:rPr>
          <w:rFonts w:ascii="Cambria" w:hAnsi="Cambria"/>
        </w:rPr>
        <w:t xml:space="preserve"> possession, use, storage, and disposal of toxins of biological origin. This policy applies to all university personnel handling:</w:t>
      </w:r>
    </w:p>
    <w:p w14:paraId="540332B3" w14:textId="77777777" w:rsidR="00ED3A65" w:rsidRPr="00D63157" w:rsidRDefault="00ED3A65" w:rsidP="00DB7C26">
      <w:pPr>
        <w:spacing w:line="240" w:lineRule="auto"/>
        <w:contextualSpacing/>
        <w:rPr>
          <w:rFonts w:ascii="Cambria" w:hAnsi="Cambria"/>
        </w:rPr>
      </w:pPr>
    </w:p>
    <w:p w14:paraId="19BCE900" w14:textId="1C7563FF" w:rsidR="00D63157" w:rsidRPr="00DB7C26" w:rsidRDefault="00D63157" w:rsidP="17C3BE2C">
      <w:pPr>
        <w:pStyle w:val="ListParagraph"/>
        <w:numPr>
          <w:ilvl w:val="0"/>
          <w:numId w:val="12"/>
        </w:numPr>
        <w:spacing w:line="240" w:lineRule="auto"/>
        <w:ind w:left="720"/>
      </w:pPr>
      <w:r w:rsidRPr="65EB467A">
        <w:rPr>
          <w:rFonts w:ascii="Cambria" w:hAnsi="Cambria"/>
          <w:b/>
          <w:bCs/>
        </w:rPr>
        <w:t>Federal Select Toxins</w:t>
      </w:r>
      <w:r w:rsidRPr="65EB467A">
        <w:rPr>
          <w:rFonts w:ascii="Cambria" w:hAnsi="Cambria"/>
        </w:rPr>
        <w:t xml:space="preserve">: Any </w:t>
      </w:r>
      <w:r w:rsidR="54F3DC93" w:rsidRPr="65EB467A">
        <w:rPr>
          <w:rFonts w:ascii="Cambria" w:hAnsi="Cambria"/>
        </w:rPr>
        <w:t>toxins</w:t>
      </w:r>
      <w:r w:rsidRPr="65EB467A">
        <w:rPr>
          <w:rFonts w:ascii="Cambria" w:hAnsi="Cambria"/>
        </w:rPr>
        <w:t xml:space="preserve"> listed in </w:t>
      </w:r>
      <w:hyperlink r:id="rId11">
        <w:r w:rsidRPr="00D46ED1">
          <w:rPr>
            <w:rStyle w:val="Hyperlink"/>
            <w:rFonts w:ascii="Cambria" w:hAnsi="Cambria"/>
            <w:color w:val="auto"/>
          </w:rPr>
          <w:t>42 CFR 73</w:t>
        </w:r>
      </w:hyperlink>
      <w:r w:rsidRPr="65EB467A">
        <w:rPr>
          <w:rFonts w:ascii="Cambria" w:hAnsi="Cambria"/>
        </w:rPr>
        <w:t>, regardless of whether the amount is above or below the federal "exempt" threshold.</w:t>
      </w:r>
      <w:r w:rsidR="5B4D8A19" w:rsidRPr="65EB467A">
        <w:rPr>
          <w:rFonts w:ascii="Cambria" w:hAnsi="Cambria"/>
        </w:rPr>
        <w:t xml:space="preserve"> </w:t>
      </w:r>
      <w:proofErr w:type="gramStart"/>
      <w:r w:rsidR="0EEF0D2A" w:rsidRPr="65EB467A">
        <w:rPr>
          <w:rFonts w:ascii="Cambria" w:hAnsi="Cambria"/>
        </w:rPr>
        <w:t>Select</w:t>
      </w:r>
      <w:proofErr w:type="gramEnd"/>
      <w:r w:rsidR="0EEF0D2A" w:rsidRPr="65EB467A">
        <w:rPr>
          <w:rFonts w:ascii="Cambria" w:hAnsi="Cambria"/>
        </w:rPr>
        <w:t xml:space="preserve"> toxin permissible amounts can be found here: </w:t>
      </w:r>
      <w:hyperlink r:id="rId12" w:history="1">
        <w:r w:rsidR="0EEF0D2A" w:rsidRPr="00D46ED1">
          <w:rPr>
            <w:rStyle w:val="Hyperlink"/>
            <w:color w:val="auto"/>
          </w:rPr>
          <w:t>Permissible Toxin Amounts | Federal Select Agent Program</w:t>
        </w:r>
      </w:hyperlink>
    </w:p>
    <w:p w14:paraId="7F437505" w14:textId="77777777" w:rsidR="00D63157" w:rsidRPr="00DB7C26" w:rsidRDefault="00D63157" w:rsidP="00DB7C26">
      <w:pPr>
        <w:pStyle w:val="ListParagraph"/>
        <w:numPr>
          <w:ilvl w:val="0"/>
          <w:numId w:val="12"/>
        </w:numPr>
        <w:spacing w:line="240" w:lineRule="auto"/>
        <w:ind w:left="720"/>
        <w:rPr>
          <w:rFonts w:ascii="Cambria" w:hAnsi="Cambria"/>
        </w:rPr>
      </w:pPr>
      <w:r w:rsidRPr="00F07627">
        <w:rPr>
          <w:rFonts w:ascii="Cambria" w:hAnsi="Cambria"/>
          <w:b/>
          <w:bCs/>
        </w:rPr>
        <w:t>High-Potency Non-Regulated Toxins</w:t>
      </w:r>
      <w:r w:rsidRPr="00DB7C26">
        <w:rPr>
          <w:rFonts w:ascii="Cambria" w:hAnsi="Cambria"/>
        </w:rPr>
        <w:t>: Any biologically derived toxin with a known mammalian LD</w:t>
      </w:r>
      <w:r w:rsidRPr="00DB7C26">
        <w:rPr>
          <w:rFonts w:ascii="Cambria" w:hAnsi="Cambria"/>
          <w:vertAlign w:val="subscript"/>
        </w:rPr>
        <w:t>50</w:t>
      </w:r>
      <w:r w:rsidR="00A406F4" w:rsidRPr="00DB7C26">
        <w:rPr>
          <w:rFonts w:ascii="Cambria" w:hAnsi="Cambria"/>
        </w:rPr>
        <w:t xml:space="preserve">≥ </w:t>
      </w:r>
      <w:r w:rsidRPr="00DB7C26">
        <w:rPr>
          <w:rFonts w:ascii="Cambria" w:hAnsi="Cambria"/>
        </w:rPr>
        <w:t>100</w:t>
      </w:r>
      <w:r w:rsidR="00D564BA" w:rsidRPr="00DB7C26">
        <w:rPr>
          <w:rFonts w:ascii="Cambria" w:hAnsi="Cambria"/>
        </w:rPr>
        <w:t xml:space="preserve"> </w:t>
      </w:r>
      <w:proofErr w:type="gramStart"/>
      <w:r w:rsidR="00D564BA" w:rsidRPr="00DB7C26">
        <w:rPr>
          <w:rFonts w:ascii="Cambria" w:hAnsi="Cambria"/>
        </w:rPr>
        <w:t>µg</w:t>
      </w:r>
      <w:proofErr w:type="gramEnd"/>
      <w:r w:rsidR="00D564BA" w:rsidRPr="00DB7C26">
        <w:rPr>
          <w:rFonts w:ascii="Cambria" w:hAnsi="Cambria"/>
        </w:rPr>
        <w:t xml:space="preserve">/kg </w:t>
      </w:r>
      <w:r w:rsidRPr="00DB7C26">
        <w:rPr>
          <w:rFonts w:ascii="Cambria" w:hAnsi="Cambria"/>
        </w:rPr>
        <w:t>of body weight (e.g., Diphtheria toxin, Pertussis toxin, or certain snake venoms).</w:t>
      </w:r>
    </w:p>
    <w:p w14:paraId="7DD8AF14" w14:textId="30583B71" w:rsidR="00C23300" w:rsidRPr="00D61C10" w:rsidRDefault="00D63157" w:rsidP="00DB7C26">
      <w:pPr>
        <w:pStyle w:val="ListParagraph"/>
        <w:numPr>
          <w:ilvl w:val="0"/>
          <w:numId w:val="12"/>
        </w:numPr>
        <w:spacing w:line="240" w:lineRule="auto"/>
        <w:ind w:left="720"/>
        <w:rPr>
          <w:rFonts w:ascii="Cambria" w:hAnsi="Cambria"/>
        </w:rPr>
      </w:pPr>
      <w:r w:rsidRPr="00F07627">
        <w:rPr>
          <w:rFonts w:ascii="Cambria" w:hAnsi="Cambria"/>
          <w:b/>
          <w:bCs/>
        </w:rPr>
        <w:t>Recombinant Toxin Molecules</w:t>
      </w:r>
      <w:r w:rsidRPr="00DB7C26">
        <w:rPr>
          <w:rFonts w:ascii="Cambria" w:hAnsi="Cambria"/>
        </w:rPr>
        <w:t>: Any experiment involving the deliberate formation of recombinant or synthetic nucleic acid molecules containing a gene for a functional toxin molecule.</w:t>
      </w:r>
    </w:p>
    <w:p w14:paraId="7CC1831B" w14:textId="77777777" w:rsidR="00D63157" w:rsidRPr="00ED3A65" w:rsidRDefault="00D63157" w:rsidP="00DB7C26">
      <w:pPr>
        <w:spacing w:line="240" w:lineRule="auto"/>
        <w:contextualSpacing/>
        <w:rPr>
          <w:rFonts w:ascii="Cambria" w:hAnsi="Cambria"/>
          <w:b/>
          <w:bCs/>
        </w:rPr>
      </w:pPr>
      <w:r w:rsidRPr="00D63157">
        <w:rPr>
          <w:rFonts w:ascii="Cambria" w:hAnsi="Cambria"/>
          <w:b/>
          <w:bCs/>
        </w:rPr>
        <w:t>Registration Requirements</w:t>
      </w:r>
    </w:p>
    <w:p w14:paraId="26CF91EE" w14:textId="77777777" w:rsidR="00ED3A65" w:rsidRPr="00D63157" w:rsidRDefault="00ED3A65" w:rsidP="00DB7C26">
      <w:pPr>
        <w:spacing w:line="240" w:lineRule="auto"/>
        <w:contextualSpacing/>
        <w:rPr>
          <w:rFonts w:ascii="Cambria" w:hAnsi="Cambria"/>
          <w:b/>
          <w:bCs/>
        </w:rPr>
      </w:pPr>
    </w:p>
    <w:p w14:paraId="041E1954" w14:textId="02F3741F" w:rsidR="00D63157" w:rsidRPr="00D63157" w:rsidRDefault="00D63157" w:rsidP="00DB7C26">
      <w:pPr>
        <w:numPr>
          <w:ilvl w:val="0"/>
          <w:numId w:val="6"/>
        </w:numPr>
        <w:spacing w:line="240" w:lineRule="auto"/>
        <w:contextualSpacing/>
        <w:rPr>
          <w:rFonts w:ascii="Cambria" w:hAnsi="Cambria"/>
        </w:rPr>
      </w:pPr>
      <w:r w:rsidRPr="00D63157">
        <w:rPr>
          <w:rFonts w:ascii="Cambria" w:hAnsi="Cambria"/>
        </w:rPr>
        <w:t>Prior to acquisition or use, a</w:t>
      </w:r>
      <w:r w:rsidR="00EB2BD5" w:rsidRPr="00ED3A65">
        <w:rPr>
          <w:rFonts w:ascii="Cambria" w:hAnsi="Cambria"/>
        </w:rPr>
        <w:t xml:space="preserve">n IBC protocol/amendment </w:t>
      </w:r>
      <w:r w:rsidRPr="00D63157">
        <w:rPr>
          <w:rFonts w:ascii="Cambria" w:hAnsi="Cambria"/>
        </w:rPr>
        <w:t>must be submitted to and approved by the IBC for any toxin meeting the criteria in Section 1.</w:t>
      </w:r>
    </w:p>
    <w:p w14:paraId="11BE5208" w14:textId="0C8C9367" w:rsidR="00D63157" w:rsidRPr="00D63157" w:rsidRDefault="00D63157" w:rsidP="65EB467A">
      <w:pPr>
        <w:numPr>
          <w:ilvl w:val="0"/>
          <w:numId w:val="6"/>
        </w:numPr>
        <w:spacing w:line="240" w:lineRule="auto"/>
        <w:contextualSpacing/>
        <w:rPr>
          <w:rFonts w:ascii="Cambria" w:hAnsi="Cambria"/>
        </w:rPr>
      </w:pPr>
      <w:r w:rsidRPr="65EB467A">
        <w:rPr>
          <w:rFonts w:ascii="Cambria" w:hAnsi="Cambria"/>
        </w:rPr>
        <w:t>For toxins with an unknown LD</w:t>
      </w:r>
      <w:r w:rsidR="005553AB" w:rsidRPr="65EB467A">
        <w:rPr>
          <w:rFonts w:ascii="Cambria" w:hAnsi="Cambria"/>
          <w:vertAlign w:val="subscript"/>
        </w:rPr>
        <w:t>50</w:t>
      </w:r>
      <w:r w:rsidRPr="65EB467A">
        <w:rPr>
          <w:rFonts w:ascii="Cambria" w:hAnsi="Cambria"/>
        </w:rPr>
        <w:t xml:space="preserve">, the Principal Investigator (PI) must conduct a formal risk assessment. If the toxin is reasonably expected to have high acute toxicity, it must be registered </w:t>
      </w:r>
      <w:r w:rsidR="005553AB" w:rsidRPr="65EB467A">
        <w:rPr>
          <w:rFonts w:ascii="Cambria" w:hAnsi="Cambria"/>
        </w:rPr>
        <w:t xml:space="preserve">with an IBC protocol </w:t>
      </w:r>
      <w:r w:rsidRPr="65EB467A">
        <w:rPr>
          <w:rFonts w:ascii="Cambria" w:hAnsi="Cambria"/>
        </w:rPr>
        <w:t>until proven otherwise.</w:t>
      </w:r>
    </w:p>
    <w:p w14:paraId="4D5DBE51" w14:textId="3F96EC51" w:rsidR="00D63157" w:rsidRPr="00ED3A65" w:rsidRDefault="00D63157" w:rsidP="00DB7C26">
      <w:pPr>
        <w:numPr>
          <w:ilvl w:val="0"/>
          <w:numId w:val="6"/>
        </w:numPr>
        <w:spacing w:line="240" w:lineRule="auto"/>
        <w:contextualSpacing/>
        <w:rPr>
          <w:rFonts w:ascii="Cambria" w:hAnsi="Cambria"/>
        </w:rPr>
      </w:pPr>
      <w:r w:rsidRPr="00D63157">
        <w:rPr>
          <w:rFonts w:ascii="Cambria" w:hAnsi="Cambria"/>
        </w:rPr>
        <w:t>Experiments involving the cloning of toxin genes with an LD</w:t>
      </w:r>
      <w:r w:rsidRPr="00D63157">
        <w:rPr>
          <w:rFonts w:ascii="Cambria" w:hAnsi="Cambria"/>
          <w:vertAlign w:val="subscript"/>
        </w:rPr>
        <w:t>50</w:t>
      </w:r>
      <w:r w:rsidR="00967A7E" w:rsidRPr="00ED3A65">
        <w:rPr>
          <w:rFonts w:ascii="Cambria" w:hAnsi="Cambria"/>
        </w:rPr>
        <w:t xml:space="preserve"> </w:t>
      </w:r>
      <w:r w:rsidRPr="00D63157">
        <w:rPr>
          <w:rFonts w:ascii="Cambria" w:hAnsi="Cambria"/>
        </w:rPr>
        <w:t>&lt; 100</w:t>
      </w:r>
      <w:r w:rsidR="00967A7E" w:rsidRPr="00ED3A65">
        <w:rPr>
          <w:rFonts w:ascii="Cambria" w:hAnsi="Cambria"/>
        </w:rPr>
        <w:t xml:space="preserve"> </w:t>
      </w:r>
      <w:r w:rsidRPr="00D63157">
        <w:rPr>
          <w:rFonts w:ascii="Cambria" w:hAnsi="Cambria"/>
        </w:rPr>
        <w:t>ng/kg (e.g., Botulinum) require prior NIH/OSP approval in addition to IBC approval.</w:t>
      </w:r>
    </w:p>
    <w:p w14:paraId="205B1939" w14:textId="77777777" w:rsidR="00967A7E" w:rsidRPr="00D63157" w:rsidRDefault="00967A7E" w:rsidP="00DB7C26">
      <w:pPr>
        <w:spacing w:line="240" w:lineRule="auto"/>
        <w:ind w:left="720"/>
        <w:contextualSpacing/>
        <w:rPr>
          <w:rFonts w:ascii="Cambria" w:hAnsi="Cambria"/>
        </w:rPr>
      </w:pPr>
    </w:p>
    <w:p w14:paraId="61E3537B" w14:textId="77777777" w:rsidR="00D63157" w:rsidRDefault="00D63157" w:rsidP="00DB7C26">
      <w:pPr>
        <w:spacing w:line="240" w:lineRule="auto"/>
        <w:contextualSpacing/>
        <w:rPr>
          <w:rFonts w:ascii="Cambria" w:hAnsi="Cambria"/>
          <w:b/>
          <w:bCs/>
        </w:rPr>
      </w:pPr>
      <w:r w:rsidRPr="00D63157">
        <w:rPr>
          <w:rFonts w:ascii="Cambria" w:hAnsi="Cambria"/>
          <w:b/>
          <w:bCs/>
        </w:rPr>
        <w:t>Laboratory Practices &amp; Containment</w:t>
      </w:r>
    </w:p>
    <w:p w14:paraId="6906833A" w14:textId="77777777" w:rsidR="00ED3A65" w:rsidRPr="00D63157" w:rsidRDefault="00ED3A65" w:rsidP="00DB7C26">
      <w:pPr>
        <w:spacing w:line="240" w:lineRule="auto"/>
        <w:contextualSpacing/>
        <w:rPr>
          <w:rFonts w:ascii="Cambria" w:hAnsi="Cambria"/>
          <w:b/>
          <w:bCs/>
        </w:rPr>
      </w:pPr>
    </w:p>
    <w:p w14:paraId="2988D455" w14:textId="77777777" w:rsidR="00D63157" w:rsidRPr="00D63157" w:rsidRDefault="00D63157" w:rsidP="4B09DE13">
      <w:pPr>
        <w:numPr>
          <w:ilvl w:val="0"/>
          <w:numId w:val="7"/>
        </w:numPr>
        <w:spacing w:line="240" w:lineRule="auto"/>
        <w:contextualSpacing/>
        <w:rPr>
          <w:rFonts w:ascii="Cambria" w:hAnsi="Cambria"/>
        </w:rPr>
      </w:pPr>
      <w:r w:rsidRPr="4B09DE13">
        <w:rPr>
          <w:rFonts w:ascii="Cambria" w:hAnsi="Cambria"/>
        </w:rPr>
        <w:t xml:space="preserve">Work with biological toxins shall be conducted under </w:t>
      </w:r>
      <w:r w:rsidRPr="4B09DE13">
        <w:rPr>
          <w:rFonts w:ascii="Cambria" w:hAnsi="Cambria"/>
          <w:b/>
          <w:bCs/>
        </w:rPr>
        <w:t>Biosafety Level 2 (BSL-2)</w:t>
      </w:r>
      <w:r w:rsidRPr="4B09DE13">
        <w:rPr>
          <w:rFonts w:ascii="Cambria" w:hAnsi="Cambria"/>
        </w:rPr>
        <w:t xml:space="preserve"> practices at </w:t>
      </w:r>
      <w:r w:rsidR="1E400C52" w:rsidRPr="4B09DE13">
        <w:rPr>
          <w:rFonts w:ascii="Cambria" w:hAnsi="Cambria"/>
        </w:rPr>
        <w:t>a minimum</w:t>
      </w:r>
      <w:r w:rsidRPr="4B09DE13">
        <w:rPr>
          <w:rFonts w:ascii="Cambria" w:hAnsi="Cambria"/>
        </w:rPr>
        <w:t>.</w:t>
      </w:r>
    </w:p>
    <w:p w14:paraId="01467E8D" w14:textId="379C3F07" w:rsidR="003C35D9" w:rsidRPr="00F52B1A" w:rsidRDefault="00D63157" w:rsidP="00F52B1A">
      <w:pPr>
        <w:numPr>
          <w:ilvl w:val="0"/>
          <w:numId w:val="7"/>
        </w:numPr>
        <w:spacing w:line="240" w:lineRule="auto"/>
        <w:contextualSpacing/>
        <w:rPr>
          <w:rFonts w:ascii="Cambria" w:hAnsi="Cambria"/>
        </w:rPr>
      </w:pPr>
      <w:r w:rsidRPr="00D63157">
        <w:rPr>
          <w:rFonts w:ascii="Cambria" w:hAnsi="Cambria"/>
        </w:rPr>
        <w:t>Engineering Controls: All manipulations involving toxins or aerosol-generating procedures (vortexing, reconstitution</w:t>
      </w:r>
      <w:r w:rsidR="00387EB8" w:rsidRPr="0024563D">
        <w:rPr>
          <w:rFonts w:ascii="Cambria" w:hAnsi="Cambria"/>
        </w:rPr>
        <w:t>, centrifuging</w:t>
      </w:r>
      <w:r w:rsidRPr="00D63157">
        <w:rPr>
          <w:rFonts w:ascii="Cambria" w:hAnsi="Cambria"/>
        </w:rPr>
        <w:t xml:space="preserve">) </w:t>
      </w:r>
      <w:r w:rsidR="006A1243">
        <w:rPr>
          <w:rFonts w:ascii="Cambria" w:hAnsi="Cambria"/>
        </w:rPr>
        <w:t>are strongly recommended to</w:t>
      </w:r>
      <w:r w:rsidRPr="00D63157">
        <w:rPr>
          <w:rFonts w:ascii="Cambria" w:hAnsi="Cambria"/>
        </w:rPr>
        <w:t xml:space="preserve"> be performed in a certified Class II Biosafety Cabinet (BSC)</w:t>
      </w:r>
      <w:r w:rsidR="003C35D9" w:rsidRPr="0024563D">
        <w:rPr>
          <w:rFonts w:ascii="Cambria" w:hAnsi="Cambria"/>
        </w:rPr>
        <w:t>.</w:t>
      </w:r>
      <w:r w:rsidR="002E38BE">
        <w:rPr>
          <w:rFonts w:ascii="Cambria" w:hAnsi="Cambria"/>
        </w:rPr>
        <w:t xml:space="preserve"> </w:t>
      </w:r>
      <w:r w:rsidR="002E38BE" w:rsidRPr="65EB467A">
        <w:rPr>
          <w:rFonts w:ascii="Cambria" w:hAnsi="Cambria"/>
        </w:rPr>
        <w:t>Dry forms of toxins present a high aerosol risk. Primary containers of dry forms of toxins should be handled in a chemical fume hood, a glove box, or a biological safety cabinet. Whenever possible, reconstitute the entire vial of powdered toxin by injecting diluent through the septum.</w:t>
      </w:r>
    </w:p>
    <w:p w14:paraId="08718725" w14:textId="77777777" w:rsidR="00D63157" w:rsidRPr="0024563D" w:rsidRDefault="00D63157" w:rsidP="34D4E887">
      <w:pPr>
        <w:numPr>
          <w:ilvl w:val="0"/>
          <w:numId w:val="7"/>
        </w:numPr>
        <w:spacing w:line="240" w:lineRule="auto"/>
        <w:contextualSpacing/>
        <w:rPr>
          <w:rFonts w:ascii="Cambria" w:hAnsi="Cambria"/>
        </w:rPr>
      </w:pPr>
      <w:r w:rsidRPr="34D4E887">
        <w:rPr>
          <w:rFonts w:ascii="Cambria" w:hAnsi="Cambria"/>
        </w:rPr>
        <w:t>Personal Protective Equipment (PPE): Minimum PPE includes a lab coat, safety glasses/goggles, and gloves. Respiratory protection (N95 or PAPR) is required for work involving high-risk aerosols conducted outside of a BSC.</w:t>
      </w:r>
    </w:p>
    <w:p w14:paraId="065A5875" w14:textId="48FBBFCA" w:rsidR="01FCA855" w:rsidRDefault="01FCA855" w:rsidP="4B09DE13">
      <w:pPr>
        <w:numPr>
          <w:ilvl w:val="0"/>
          <w:numId w:val="7"/>
        </w:numPr>
        <w:spacing w:line="240" w:lineRule="auto"/>
        <w:contextualSpacing/>
        <w:rPr>
          <w:rFonts w:ascii="Cambria" w:hAnsi="Cambria"/>
        </w:rPr>
      </w:pPr>
      <w:r w:rsidRPr="00215D70">
        <w:rPr>
          <w:rFonts w:ascii="Cambria" w:hAnsi="Cambria"/>
          <w:b/>
          <w:bCs/>
        </w:rPr>
        <w:t>Glove selection:</w:t>
      </w:r>
      <w:r w:rsidRPr="4B09DE13">
        <w:rPr>
          <w:rFonts w:ascii="Cambria" w:hAnsi="Cambria"/>
        </w:rPr>
        <w:t xml:space="preserve"> If powdered </w:t>
      </w:r>
      <w:r w:rsidR="0442F0CE" w:rsidRPr="4B09DE13">
        <w:rPr>
          <w:rFonts w:ascii="Cambria" w:hAnsi="Cambria"/>
        </w:rPr>
        <w:t>toxins</w:t>
      </w:r>
      <w:r w:rsidR="0076747E">
        <w:rPr>
          <w:rFonts w:ascii="Cambria" w:hAnsi="Cambria"/>
        </w:rPr>
        <w:t xml:space="preserve"> </w:t>
      </w:r>
      <w:r w:rsidR="001708DB">
        <w:rPr>
          <w:rFonts w:ascii="Cambria" w:hAnsi="Cambria"/>
        </w:rPr>
        <w:t>must</w:t>
      </w:r>
      <w:r w:rsidRPr="4B09DE13">
        <w:rPr>
          <w:rFonts w:ascii="Cambria" w:hAnsi="Cambria"/>
        </w:rPr>
        <w:t xml:space="preserve"> be handled, select gloves that do not generate static electricity. Do not </w:t>
      </w:r>
      <w:r w:rsidR="080BB768" w:rsidRPr="4B09DE13">
        <w:rPr>
          <w:rFonts w:ascii="Cambria" w:hAnsi="Cambria"/>
        </w:rPr>
        <w:t>wear</w:t>
      </w:r>
      <w:r w:rsidRPr="4B09DE13">
        <w:rPr>
          <w:rFonts w:ascii="Cambria" w:hAnsi="Cambria"/>
        </w:rPr>
        <w:t xml:space="preserve"> latex gloves.</w:t>
      </w:r>
    </w:p>
    <w:p w14:paraId="53004074" w14:textId="77777777" w:rsidR="724BBF6F" w:rsidRDefault="724BBF6F" w:rsidP="1FDB5506">
      <w:pPr>
        <w:numPr>
          <w:ilvl w:val="0"/>
          <w:numId w:val="7"/>
        </w:numPr>
        <w:spacing w:line="240" w:lineRule="auto"/>
        <w:contextualSpacing/>
        <w:rPr>
          <w:rFonts w:ascii="Cambria" w:hAnsi="Cambria"/>
        </w:rPr>
      </w:pPr>
      <w:r w:rsidRPr="1FDB5506">
        <w:rPr>
          <w:rFonts w:ascii="Cambria" w:hAnsi="Cambria"/>
        </w:rPr>
        <w:lastRenderedPageBreak/>
        <w:t>When biological toxins are in use, the room should be posted to indicate “Biological Toxins in Use ­ Authorized Personnel Only.” Any special entry requirements should be posted at the entrance(s) of the room. Only personnel whose presence is required should be in the room while toxins are in use.</w:t>
      </w:r>
    </w:p>
    <w:p w14:paraId="4BB59053" w14:textId="77777777" w:rsidR="00DB7C26" w:rsidRPr="00D63157" w:rsidRDefault="00DB7C26" w:rsidP="0024222A">
      <w:pPr>
        <w:spacing w:line="240" w:lineRule="auto"/>
        <w:ind w:left="720"/>
        <w:contextualSpacing/>
        <w:rPr>
          <w:rFonts w:ascii="Cambria" w:hAnsi="Cambria"/>
        </w:rPr>
      </w:pPr>
    </w:p>
    <w:p w14:paraId="0F6E8AC9" w14:textId="77777777" w:rsidR="00D63157" w:rsidRDefault="00D63157" w:rsidP="00DB7C26">
      <w:pPr>
        <w:spacing w:line="240" w:lineRule="auto"/>
        <w:contextualSpacing/>
        <w:rPr>
          <w:rFonts w:ascii="Cambria" w:hAnsi="Cambria"/>
          <w:b/>
          <w:bCs/>
        </w:rPr>
      </w:pPr>
      <w:r w:rsidRPr="00D63157">
        <w:rPr>
          <w:rFonts w:ascii="Cambria" w:hAnsi="Cambria"/>
          <w:b/>
          <w:bCs/>
        </w:rPr>
        <w:t>Security</w:t>
      </w:r>
    </w:p>
    <w:p w14:paraId="1ECEF133" w14:textId="77777777" w:rsidR="0024563D" w:rsidRPr="00D63157" w:rsidRDefault="0024563D" w:rsidP="00DB7C26">
      <w:pPr>
        <w:spacing w:line="240" w:lineRule="auto"/>
        <w:contextualSpacing/>
        <w:rPr>
          <w:rFonts w:ascii="Cambria" w:hAnsi="Cambria"/>
          <w:b/>
          <w:bCs/>
        </w:rPr>
      </w:pPr>
    </w:p>
    <w:p w14:paraId="04080381" w14:textId="49B0DA51" w:rsidR="00D63157" w:rsidRPr="00D63157" w:rsidRDefault="00D63157" w:rsidP="00DB7C26">
      <w:pPr>
        <w:numPr>
          <w:ilvl w:val="0"/>
          <w:numId w:val="8"/>
        </w:numPr>
        <w:spacing w:line="240" w:lineRule="auto"/>
        <w:contextualSpacing/>
        <w:rPr>
          <w:rFonts w:ascii="Cambria" w:hAnsi="Cambria"/>
        </w:rPr>
      </w:pPr>
      <w:r w:rsidRPr="00D63157">
        <w:rPr>
          <w:rFonts w:ascii="Cambria" w:hAnsi="Cambria"/>
        </w:rPr>
        <w:t xml:space="preserve">Toxins must be stored in a locked secondary container (e.g., a lockbox) within a </w:t>
      </w:r>
      <w:proofErr w:type="gramStart"/>
      <w:r w:rsidRPr="00D63157">
        <w:rPr>
          <w:rFonts w:ascii="Cambria" w:hAnsi="Cambria"/>
        </w:rPr>
        <w:t>secured</w:t>
      </w:r>
      <w:proofErr w:type="gramEnd"/>
      <w:r w:rsidRPr="00D63157">
        <w:rPr>
          <w:rFonts w:ascii="Cambria" w:hAnsi="Cambria"/>
        </w:rPr>
        <w:t xml:space="preserve"> refrigerator/freezer or a locked laboratory room.</w:t>
      </w:r>
    </w:p>
    <w:p w14:paraId="427B1466" w14:textId="77777777" w:rsidR="00ED6253" w:rsidRPr="00D63157" w:rsidRDefault="00ED6253" w:rsidP="0024563D">
      <w:pPr>
        <w:spacing w:line="240" w:lineRule="auto"/>
        <w:ind w:left="720"/>
        <w:contextualSpacing/>
        <w:rPr>
          <w:rFonts w:ascii="Cambria" w:hAnsi="Cambria"/>
        </w:rPr>
      </w:pPr>
    </w:p>
    <w:p w14:paraId="06CA712A" w14:textId="77777777" w:rsidR="00D63157" w:rsidRDefault="00D63157" w:rsidP="00DB7C26">
      <w:pPr>
        <w:spacing w:line="240" w:lineRule="auto"/>
        <w:contextualSpacing/>
        <w:rPr>
          <w:rFonts w:ascii="Cambria" w:hAnsi="Cambria"/>
          <w:b/>
          <w:bCs/>
        </w:rPr>
      </w:pPr>
      <w:r w:rsidRPr="00D63157">
        <w:rPr>
          <w:rFonts w:ascii="Cambria" w:hAnsi="Cambria"/>
          <w:b/>
          <w:bCs/>
        </w:rPr>
        <w:t>Decontamination and Disposal</w:t>
      </w:r>
    </w:p>
    <w:p w14:paraId="1F63FF26" w14:textId="77777777" w:rsidR="00ED6253" w:rsidRPr="00D63157" w:rsidRDefault="00ED6253" w:rsidP="00DB7C26">
      <w:pPr>
        <w:spacing w:line="240" w:lineRule="auto"/>
        <w:contextualSpacing/>
        <w:rPr>
          <w:rFonts w:ascii="Cambria" w:hAnsi="Cambria"/>
          <w:b/>
          <w:bCs/>
        </w:rPr>
      </w:pPr>
    </w:p>
    <w:p w14:paraId="5A4012B2" w14:textId="77777777" w:rsidR="00D63157" w:rsidRPr="00D63157" w:rsidRDefault="00D63157" w:rsidP="17C3BE2C">
      <w:pPr>
        <w:numPr>
          <w:ilvl w:val="0"/>
          <w:numId w:val="9"/>
        </w:numPr>
        <w:spacing w:line="240" w:lineRule="auto"/>
        <w:contextualSpacing/>
        <w:rPr>
          <w:rFonts w:ascii="Cambria" w:hAnsi="Cambria"/>
        </w:rPr>
      </w:pPr>
      <w:r w:rsidRPr="17C3BE2C">
        <w:rPr>
          <w:rFonts w:ascii="Cambria" w:hAnsi="Cambria"/>
        </w:rPr>
        <w:t xml:space="preserve">All work surfaces must be decontaminated immediately following use. Standard 70% ethanol is generally </w:t>
      </w:r>
      <w:r w:rsidRPr="00215D70">
        <w:rPr>
          <w:rFonts w:ascii="Cambria" w:hAnsi="Cambria"/>
          <w:b/>
          <w:bCs/>
          <w:u w:val="single"/>
        </w:rPr>
        <w:t>ineffective</w:t>
      </w:r>
      <w:r w:rsidRPr="17C3BE2C">
        <w:rPr>
          <w:rFonts w:ascii="Cambria" w:hAnsi="Cambria"/>
        </w:rPr>
        <w:t>. PIs must use a validated method, such as:</w:t>
      </w:r>
    </w:p>
    <w:p w14:paraId="671A11DA" w14:textId="77777777" w:rsidR="00D63157" w:rsidRPr="00D63157" w:rsidRDefault="00D63157" w:rsidP="00DB7C26">
      <w:pPr>
        <w:numPr>
          <w:ilvl w:val="1"/>
          <w:numId w:val="9"/>
        </w:numPr>
        <w:spacing w:line="240" w:lineRule="auto"/>
        <w:contextualSpacing/>
        <w:rPr>
          <w:rFonts w:ascii="Cambria" w:hAnsi="Cambria"/>
        </w:rPr>
      </w:pPr>
      <w:r w:rsidRPr="00D63157">
        <w:rPr>
          <w:rFonts w:ascii="Cambria" w:hAnsi="Cambria"/>
        </w:rPr>
        <w:t>Bleach: 10% fresh bleach (0.5% sodium hypochlorite) for 30 minutes.</w:t>
      </w:r>
    </w:p>
    <w:p w14:paraId="6E2BB434" w14:textId="77777777" w:rsidR="009A379C" w:rsidRPr="009A379C" w:rsidRDefault="00D63157" w:rsidP="009A379C">
      <w:pPr>
        <w:numPr>
          <w:ilvl w:val="1"/>
          <w:numId w:val="9"/>
        </w:numPr>
        <w:spacing w:line="240" w:lineRule="auto"/>
        <w:contextualSpacing/>
        <w:rPr>
          <w:rFonts w:ascii="Cambria" w:hAnsi="Cambria"/>
        </w:rPr>
      </w:pPr>
      <w:r w:rsidRPr="00D63157">
        <w:rPr>
          <w:rFonts w:ascii="Cambria" w:hAnsi="Cambria"/>
        </w:rPr>
        <w:t>Base: 1N NaOH for certain low-molecular-weight toxins (e.g., T-2 or DAS).</w:t>
      </w:r>
    </w:p>
    <w:p w14:paraId="1DAD3131" w14:textId="77777777" w:rsidR="00D63157" w:rsidRDefault="00D63157" w:rsidP="17C3BE2C">
      <w:pPr>
        <w:numPr>
          <w:ilvl w:val="0"/>
          <w:numId w:val="9"/>
        </w:numPr>
        <w:spacing w:line="240" w:lineRule="auto"/>
        <w:contextualSpacing/>
        <w:rPr>
          <w:rFonts w:ascii="Cambria" w:hAnsi="Cambria"/>
        </w:rPr>
      </w:pPr>
      <w:r w:rsidRPr="17C3BE2C">
        <w:rPr>
          <w:rFonts w:ascii="Cambria" w:hAnsi="Cambria"/>
        </w:rPr>
        <w:t>Liquid waste must be chemically inactivated before disposal. Solid waste must be collected as hazardous waste and autoclaved or incinerated according to EHS guidelines.</w:t>
      </w:r>
    </w:p>
    <w:p w14:paraId="1E2368E6" w14:textId="3938403D" w:rsidR="009A379C" w:rsidRPr="00D61C10" w:rsidRDefault="0ACE0C5D" w:rsidP="00D61C10">
      <w:pPr>
        <w:numPr>
          <w:ilvl w:val="0"/>
          <w:numId w:val="9"/>
        </w:numPr>
        <w:spacing w:line="240" w:lineRule="auto"/>
        <w:contextualSpacing/>
        <w:rPr>
          <w:rFonts w:ascii="Cambria" w:hAnsi="Cambria"/>
        </w:rPr>
      </w:pPr>
      <w:r w:rsidRPr="17C3BE2C">
        <w:rPr>
          <w:rFonts w:ascii="Cambria" w:hAnsi="Cambria"/>
        </w:rPr>
        <w:t>Refer to BMBL (6</w:t>
      </w:r>
      <w:r w:rsidRPr="17C3BE2C">
        <w:rPr>
          <w:rFonts w:ascii="Cambria" w:hAnsi="Cambria"/>
          <w:vertAlign w:val="superscript"/>
        </w:rPr>
        <w:t>th</w:t>
      </w:r>
      <w:r w:rsidRPr="17C3BE2C">
        <w:rPr>
          <w:rFonts w:ascii="Cambria" w:hAnsi="Cambria"/>
        </w:rPr>
        <w:t xml:space="preserve"> Edition) Appendix I Guidelines for tables detailing toxin-specific inactivation and decontamination recommendation as appropriate.</w:t>
      </w:r>
    </w:p>
    <w:p w14:paraId="47914F59" w14:textId="77777777" w:rsidR="00D61C10" w:rsidRPr="00D61C10" w:rsidRDefault="00D61C10" w:rsidP="00D61C10">
      <w:pPr>
        <w:pStyle w:val="Heading3"/>
        <w:rPr>
          <w:rFonts w:ascii="Cambria" w:hAnsi="Cambria"/>
          <w:b/>
          <w:bCs/>
          <w:color w:val="auto"/>
          <w:sz w:val="22"/>
          <w:szCs w:val="22"/>
        </w:rPr>
      </w:pPr>
      <w:r w:rsidRPr="00D61C10">
        <w:rPr>
          <w:rFonts w:ascii="Cambria" w:hAnsi="Cambria"/>
          <w:b/>
          <w:bCs/>
          <w:color w:val="auto"/>
          <w:sz w:val="22"/>
          <w:szCs w:val="22"/>
        </w:rPr>
        <w:t>Occupational Health Services (OHSP) Notification</w:t>
      </w:r>
    </w:p>
    <w:p w14:paraId="2C9DE7E5" w14:textId="77777777" w:rsidR="00D61C10" w:rsidRPr="00D61C10" w:rsidRDefault="00D61C10" w:rsidP="00D61C10">
      <w:pPr>
        <w:pStyle w:val="ListParagraph"/>
        <w:numPr>
          <w:ilvl w:val="0"/>
          <w:numId w:val="20"/>
        </w:numPr>
        <w:spacing w:line="279" w:lineRule="auto"/>
        <w:rPr>
          <w:rFonts w:ascii="Cambria" w:hAnsi="Cambria"/>
        </w:rPr>
      </w:pPr>
      <w:r w:rsidRPr="00D61C10">
        <w:rPr>
          <w:rFonts w:ascii="Cambria" w:hAnsi="Cambria"/>
        </w:rPr>
        <w:t>When to inform OHSP: Prior to initiating work with any toxin meeting this policy’s potency criteria; when quantities, routes, or procedures change; following any suspected exposure.</w:t>
      </w:r>
    </w:p>
    <w:p w14:paraId="40D603F9" w14:textId="77777777" w:rsidR="00D61C10" w:rsidRPr="00D61C10" w:rsidRDefault="00D61C10" w:rsidP="00D61C10">
      <w:pPr>
        <w:pStyle w:val="ListParagraph"/>
        <w:numPr>
          <w:ilvl w:val="0"/>
          <w:numId w:val="20"/>
        </w:numPr>
        <w:spacing w:line="279" w:lineRule="auto"/>
        <w:rPr>
          <w:rFonts w:ascii="Cambria" w:hAnsi="Cambria"/>
        </w:rPr>
      </w:pPr>
      <w:r w:rsidRPr="00D61C10">
        <w:rPr>
          <w:rFonts w:ascii="Cambria" w:hAnsi="Cambria"/>
        </w:rPr>
        <w:t>Information to provide: Toxin identity, form, quantity, routes of exposure, procedures, and emergency response measures.</w:t>
      </w:r>
    </w:p>
    <w:p w14:paraId="6D6341BE" w14:textId="77777777" w:rsidR="00D61C10" w:rsidRPr="00D61C10" w:rsidRDefault="00D61C10" w:rsidP="00D61C10">
      <w:pPr>
        <w:pStyle w:val="ListParagraph"/>
        <w:numPr>
          <w:ilvl w:val="0"/>
          <w:numId w:val="20"/>
        </w:numPr>
        <w:spacing w:line="279" w:lineRule="auto"/>
        <w:rPr>
          <w:rFonts w:ascii="Cambria" w:hAnsi="Cambria"/>
        </w:rPr>
      </w:pPr>
      <w:r w:rsidRPr="00D61C10">
        <w:rPr>
          <w:rFonts w:ascii="Cambria" w:hAnsi="Cambria"/>
        </w:rPr>
        <w:t>Medical considerations: Baseline counseling, exposure response pathways, and post‑exposure evaluation coordinated through OHSP.</w:t>
      </w:r>
    </w:p>
    <w:p w14:paraId="13DE1182" w14:textId="77777777" w:rsidR="00D61C10" w:rsidRPr="00D61C10" w:rsidRDefault="00D61C10" w:rsidP="00D61C10">
      <w:pPr>
        <w:pStyle w:val="Heading3"/>
        <w:rPr>
          <w:rFonts w:ascii="Cambria" w:hAnsi="Cambria"/>
          <w:b/>
          <w:bCs/>
          <w:color w:val="auto"/>
          <w:sz w:val="22"/>
          <w:szCs w:val="22"/>
        </w:rPr>
      </w:pPr>
      <w:r w:rsidRPr="00D61C10">
        <w:rPr>
          <w:rFonts w:ascii="Cambria" w:hAnsi="Cambria"/>
          <w:b/>
          <w:bCs/>
          <w:color w:val="auto"/>
          <w:sz w:val="22"/>
          <w:szCs w:val="22"/>
        </w:rPr>
        <w:t>Incident Reporting</w:t>
      </w:r>
    </w:p>
    <w:p w14:paraId="495268E4" w14:textId="77777777" w:rsidR="00D61C10" w:rsidRPr="00D61C10" w:rsidRDefault="00D61C10" w:rsidP="00D61C10">
      <w:pPr>
        <w:pStyle w:val="ListParagraph"/>
        <w:numPr>
          <w:ilvl w:val="0"/>
          <w:numId w:val="21"/>
        </w:numPr>
        <w:spacing w:line="279" w:lineRule="auto"/>
        <w:rPr>
          <w:rFonts w:ascii="Cambria" w:hAnsi="Cambria"/>
        </w:rPr>
      </w:pPr>
      <w:r w:rsidRPr="00D61C10">
        <w:rPr>
          <w:rFonts w:ascii="Cambria" w:hAnsi="Cambria"/>
        </w:rPr>
        <w:t>Immediate actions: Secure area, initiate spill/exposure SOPs, seek medical evaluation as indicated.</w:t>
      </w:r>
    </w:p>
    <w:p w14:paraId="798EC34C" w14:textId="77777777" w:rsidR="00D61C10" w:rsidRPr="00D61C10" w:rsidRDefault="00D61C10" w:rsidP="00D61C10">
      <w:pPr>
        <w:pStyle w:val="ListParagraph"/>
        <w:numPr>
          <w:ilvl w:val="0"/>
          <w:numId w:val="21"/>
        </w:numPr>
        <w:spacing w:line="279" w:lineRule="auto"/>
        <w:rPr>
          <w:rFonts w:ascii="Cambria" w:hAnsi="Cambria"/>
        </w:rPr>
      </w:pPr>
      <w:r w:rsidRPr="00D61C10">
        <w:rPr>
          <w:rFonts w:ascii="Cambria" w:hAnsi="Cambria"/>
        </w:rPr>
        <w:t>Notifications: PI, IBC, Environmental Health &amp; Safety, and OHSP per institutional procedures.</w:t>
      </w:r>
    </w:p>
    <w:p w14:paraId="42E253C6" w14:textId="6373CF90" w:rsidR="00D61C10" w:rsidRPr="00D61C10" w:rsidRDefault="00D61C10" w:rsidP="00D61C10">
      <w:pPr>
        <w:rPr>
          <w:rFonts w:ascii="Cambria" w:hAnsi="Cambria"/>
        </w:rPr>
      </w:pPr>
      <w:r w:rsidRPr="00D61C10">
        <w:rPr>
          <w:rFonts w:ascii="Cambria" w:hAnsi="Cambria"/>
        </w:rPr>
        <w:t xml:space="preserve">Compliance note: Nothing in this section supersedes federal, state, or institutional requirements. When uncertainty exists regarding potency or regulatory status, investigators must </w:t>
      </w:r>
      <w:proofErr w:type="gramStart"/>
      <w:r w:rsidRPr="00D61C10">
        <w:rPr>
          <w:rFonts w:ascii="Cambria" w:hAnsi="Cambria"/>
        </w:rPr>
        <w:t>err</w:t>
      </w:r>
      <w:proofErr w:type="gramEnd"/>
      <w:r w:rsidRPr="00D61C10">
        <w:rPr>
          <w:rFonts w:ascii="Cambria" w:hAnsi="Cambria"/>
        </w:rPr>
        <w:t xml:space="preserve"> on the side of registration and consultation with IBC/OSP/OHSP.</w:t>
      </w:r>
    </w:p>
    <w:p w14:paraId="6288DBAB" w14:textId="6EEA34FD" w:rsidR="009A379C" w:rsidRPr="00D61C10" w:rsidRDefault="009A379C" w:rsidP="009A379C">
      <w:pPr>
        <w:spacing w:line="240" w:lineRule="auto"/>
        <w:contextualSpacing/>
        <w:rPr>
          <w:rFonts w:ascii="Cambria" w:hAnsi="Cambria"/>
          <w:b/>
          <w:bCs/>
        </w:rPr>
      </w:pPr>
      <w:r w:rsidRPr="00C06EFA">
        <w:rPr>
          <w:rFonts w:ascii="Cambria" w:hAnsi="Cambria"/>
          <w:b/>
          <w:bCs/>
        </w:rPr>
        <w:t>Resources</w:t>
      </w:r>
    </w:p>
    <w:p w14:paraId="376026B5" w14:textId="77777777" w:rsidR="009A379C" w:rsidRPr="00C06EFA" w:rsidRDefault="00BE179A" w:rsidP="009A379C">
      <w:pPr>
        <w:pStyle w:val="ListParagraph"/>
        <w:numPr>
          <w:ilvl w:val="0"/>
          <w:numId w:val="18"/>
        </w:numPr>
        <w:spacing w:line="240" w:lineRule="auto"/>
        <w:rPr>
          <w:rFonts w:ascii="Cambria" w:hAnsi="Cambria"/>
        </w:rPr>
      </w:pPr>
      <w:r w:rsidRPr="00C06EFA">
        <w:rPr>
          <w:rFonts w:ascii="Cambria" w:hAnsi="Cambria"/>
        </w:rPr>
        <w:t>NIH Guidelines for Research Involving Recombinant or Synthetic Nucleic Acid Molecules (Appendix F):</w:t>
      </w:r>
      <w:r w:rsidR="00C06EFA">
        <w:rPr>
          <w:rFonts w:ascii="Cambria" w:hAnsi="Cambria"/>
          <w:b/>
          <w:bCs/>
        </w:rPr>
        <w:t xml:space="preserve"> </w:t>
      </w:r>
      <w:hyperlink r:id="rId13" w:tgtFrame="_blank" w:history="1">
        <w:r w:rsidRPr="00D46ED1">
          <w:rPr>
            <w:rStyle w:val="Hyperlink"/>
            <w:rFonts w:ascii="Cambria" w:hAnsi="Cambria"/>
            <w:color w:val="auto"/>
          </w:rPr>
          <w:t>NIH Office of Science Policy - Toxin FAQs</w:t>
        </w:r>
      </w:hyperlink>
    </w:p>
    <w:p w14:paraId="7EB9C3B1" w14:textId="77777777" w:rsidR="00354B67" w:rsidRPr="00C472FB" w:rsidRDefault="00354B67" w:rsidP="00C472FB">
      <w:pPr>
        <w:pStyle w:val="ListParagraph"/>
        <w:numPr>
          <w:ilvl w:val="0"/>
          <w:numId w:val="18"/>
        </w:numPr>
        <w:spacing w:line="240" w:lineRule="auto"/>
        <w:rPr>
          <w:rFonts w:ascii="Cambria" w:hAnsi="Cambria"/>
        </w:rPr>
      </w:pPr>
      <w:r w:rsidRPr="00C472FB">
        <w:rPr>
          <w:rFonts w:ascii="Cambria" w:hAnsi="Cambria"/>
        </w:rPr>
        <w:t>CDC/NIH Biosafety in Microbiological and Biomedical Laboratories (BMBL), 6th Edition (Appendix I):</w:t>
      </w:r>
      <w:r w:rsidR="00C472FB">
        <w:rPr>
          <w:rFonts w:ascii="Cambria" w:hAnsi="Cambria"/>
        </w:rPr>
        <w:t xml:space="preserve"> </w:t>
      </w:r>
      <w:hyperlink r:id="rId14" w:tgtFrame="_blank" w:history="1">
        <w:r w:rsidRPr="00D46ED1">
          <w:rPr>
            <w:rStyle w:val="Hyperlink"/>
            <w:rFonts w:ascii="Cambria" w:hAnsi="Cambria"/>
            <w:color w:val="auto"/>
          </w:rPr>
          <w:t>CDC BMBL 6th Edition</w:t>
        </w:r>
      </w:hyperlink>
    </w:p>
    <w:p w14:paraId="37956A9E" w14:textId="77777777" w:rsidR="00364CDD" w:rsidRPr="00364CDD" w:rsidRDefault="00364CDD" w:rsidP="00C472FB">
      <w:pPr>
        <w:spacing w:line="240" w:lineRule="auto"/>
        <w:ind w:firstLine="360"/>
        <w:contextualSpacing/>
        <w:rPr>
          <w:rFonts w:ascii="Cambria" w:hAnsi="Cambria"/>
        </w:rPr>
      </w:pPr>
      <w:r w:rsidRPr="00364CDD">
        <w:rPr>
          <w:rFonts w:ascii="Cambria" w:hAnsi="Cambria"/>
        </w:rPr>
        <w:t>Gill, D.M. (1982</w:t>
      </w:r>
      <w:hyperlink r:id="rId15" w:history="1">
        <w:r w:rsidRPr="00D46ED1">
          <w:rPr>
            <w:rStyle w:val="Hyperlink"/>
            <w:rFonts w:ascii="Cambria" w:hAnsi="Cambria"/>
            <w:color w:val="auto"/>
          </w:rPr>
          <w:t xml:space="preserve">). </w:t>
        </w:r>
        <w:r w:rsidRPr="00D46ED1">
          <w:rPr>
            <w:rStyle w:val="Hyperlink"/>
            <w:rFonts w:ascii="Cambria" w:hAnsi="Cambria"/>
            <w:i/>
            <w:iCs/>
            <w:color w:val="auto"/>
          </w:rPr>
          <w:t>"Bacterial toxins: a table of lethal amounts."</w:t>
        </w:r>
      </w:hyperlink>
      <w:r w:rsidRPr="00364CDD">
        <w:rPr>
          <w:rFonts w:ascii="Cambria" w:hAnsi="Cambria"/>
        </w:rPr>
        <w:t xml:space="preserve"> Microbiological Reviews, 46(1), 86-94.</w:t>
      </w:r>
    </w:p>
    <w:p w14:paraId="7A27F90D" w14:textId="77777777" w:rsidR="00364CDD" w:rsidRPr="00C06EFA" w:rsidRDefault="00C06EFA" w:rsidP="00C06EFA">
      <w:pPr>
        <w:spacing w:line="240" w:lineRule="auto"/>
        <w:ind w:left="720"/>
        <w:contextualSpacing/>
        <w:rPr>
          <w:rFonts w:ascii="Cambria" w:hAnsi="Cambria"/>
        </w:rPr>
      </w:pPr>
      <w:r w:rsidRPr="00C06EFA">
        <w:rPr>
          <w:rFonts w:ascii="Cambria" w:hAnsi="Cambria"/>
        </w:rPr>
        <w:t>-</w:t>
      </w:r>
      <w:r>
        <w:rPr>
          <w:rFonts w:ascii="Cambria" w:hAnsi="Cambria"/>
        </w:rPr>
        <w:t xml:space="preserve"> </w:t>
      </w:r>
      <w:r w:rsidR="00364CDD" w:rsidRPr="00C06EFA">
        <w:rPr>
          <w:rFonts w:ascii="Cambria" w:hAnsi="Cambria"/>
        </w:rPr>
        <w:t xml:space="preserve">This is </w:t>
      </w:r>
      <w:r w:rsidR="00DD15F9">
        <w:rPr>
          <w:rFonts w:ascii="Cambria" w:hAnsi="Cambria"/>
        </w:rPr>
        <w:t>a</w:t>
      </w:r>
      <w:r w:rsidR="00364CDD" w:rsidRPr="00C06EFA">
        <w:rPr>
          <w:rFonts w:ascii="Cambria" w:hAnsi="Cambria"/>
        </w:rPr>
        <w:t xml:space="preserve"> table for bacterial toxin LD</w:t>
      </w:r>
      <w:r w:rsidR="00364CDD" w:rsidRPr="00C06EFA">
        <w:rPr>
          <w:rFonts w:ascii="Cambria" w:hAnsi="Cambria"/>
          <w:vertAlign w:val="subscript"/>
        </w:rPr>
        <w:t>50</w:t>
      </w:r>
      <w:r w:rsidR="00364CDD" w:rsidRPr="00C06EFA">
        <w:rPr>
          <w:rFonts w:ascii="Cambria" w:hAnsi="Cambria"/>
        </w:rPr>
        <w:t xml:space="preserve"> values.</w:t>
      </w:r>
    </w:p>
    <w:p w14:paraId="6A8A56C4" w14:textId="77777777" w:rsidR="00364CDD" w:rsidRPr="00364CDD" w:rsidRDefault="00364CDD" w:rsidP="00C06EFA">
      <w:pPr>
        <w:spacing w:line="240" w:lineRule="auto"/>
        <w:ind w:left="360"/>
        <w:contextualSpacing/>
        <w:rPr>
          <w:rFonts w:ascii="Cambria" w:hAnsi="Cambria"/>
        </w:rPr>
      </w:pPr>
      <w:r w:rsidRPr="00364CDD">
        <w:rPr>
          <w:rFonts w:ascii="Cambria" w:hAnsi="Cambria"/>
        </w:rPr>
        <w:t xml:space="preserve">Stirpe, F., et al. (1992). </w:t>
      </w:r>
      <w:r w:rsidRPr="00364CDD">
        <w:rPr>
          <w:rFonts w:ascii="Cambria" w:hAnsi="Cambria"/>
          <w:i/>
          <w:iCs/>
        </w:rPr>
        <w:t>"</w:t>
      </w:r>
      <w:hyperlink r:id="rId16" w:history="1">
        <w:r w:rsidRPr="00D46ED1">
          <w:rPr>
            <w:rStyle w:val="Hyperlink"/>
            <w:rFonts w:ascii="Cambria" w:hAnsi="Cambria"/>
            <w:i/>
            <w:iCs/>
            <w:color w:val="auto"/>
          </w:rPr>
          <w:t>Ribosome-inactivating proteins from plants: present status and future prospects</w:t>
        </w:r>
      </w:hyperlink>
      <w:r w:rsidRPr="00364CDD">
        <w:rPr>
          <w:rFonts w:ascii="Cambria" w:hAnsi="Cambria"/>
          <w:i/>
          <w:iCs/>
        </w:rPr>
        <w:t>."</w:t>
      </w:r>
      <w:r w:rsidRPr="00364CDD">
        <w:rPr>
          <w:rFonts w:ascii="Cambria" w:hAnsi="Cambria"/>
        </w:rPr>
        <w:t xml:space="preserve"> Biotechnology, 10, 405-412.</w:t>
      </w:r>
    </w:p>
    <w:p w14:paraId="582F7E89" w14:textId="77777777" w:rsidR="00364CDD" w:rsidRPr="00C06EFA" w:rsidRDefault="00C06EFA" w:rsidP="00C06EFA">
      <w:pPr>
        <w:spacing w:line="240" w:lineRule="auto"/>
        <w:ind w:firstLine="720"/>
        <w:contextualSpacing/>
        <w:rPr>
          <w:rFonts w:ascii="Cambria" w:hAnsi="Cambria"/>
        </w:rPr>
      </w:pPr>
      <w:r w:rsidRPr="00C06EFA">
        <w:rPr>
          <w:rFonts w:ascii="Cambria" w:hAnsi="Cambria"/>
        </w:rPr>
        <w:t>-</w:t>
      </w:r>
      <w:r>
        <w:rPr>
          <w:rFonts w:ascii="Cambria" w:hAnsi="Cambria"/>
        </w:rPr>
        <w:t xml:space="preserve"> </w:t>
      </w:r>
      <w:r w:rsidR="00364CDD" w:rsidRPr="00C06EFA">
        <w:rPr>
          <w:rFonts w:ascii="Cambria" w:hAnsi="Cambria"/>
        </w:rPr>
        <w:t xml:space="preserve">The primary resource for plant-derived toxins like Ricin, Abrin, and </w:t>
      </w:r>
      <w:proofErr w:type="spellStart"/>
      <w:r w:rsidR="00364CDD" w:rsidRPr="00C06EFA">
        <w:rPr>
          <w:rFonts w:ascii="Cambria" w:hAnsi="Cambria"/>
        </w:rPr>
        <w:t>Viscumin</w:t>
      </w:r>
      <w:proofErr w:type="spellEnd"/>
      <w:r w:rsidR="00364CDD" w:rsidRPr="00C06EFA">
        <w:rPr>
          <w:rFonts w:ascii="Cambria" w:hAnsi="Cambria"/>
        </w:rPr>
        <w:t>.</w:t>
      </w:r>
    </w:p>
    <w:p w14:paraId="311625BD" w14:textId="77777777" w:rsidR="00364CDD" w:rsidRPr="00364CDD" w:rsidRDefault="00364CDD" w:rsidP="00C06EFA">
      <w:pPr>
        <w:spacing w:line="240" w:lineRule="auto"/>
        <w:ind w:firstLine="360"/>
        <w:contextualSpacing/>
        <w:rPr>
          <w:rFonts w:ascii="Cambria" w:hAnsi="Cambria"/>
        </w:rPr>
      </w:pPr>
      <w:hyperlink r:id="rId17" w:history="1">
        <w:r w:rsidRPr="00D46ED1">
          <w:rPr>
            <w:rStyle w:val="Hyperlink"/>
            <w:rFonts w:ascii="Cambria" w:hAnsi="Cambria"/>
            <w:color w:val="auto"/>
          </w:rPr>
          <w:t>Registry of Toxic Effects of Chemical Substances</w:t>
        </w:r>
      </w:hyperlink>
      <w:r w:rsidRPr="00364CDD">
        <w:rPr>
          <w:rFonts w:ascii="Cambria" w:hAnsi="Cambria"/>
        </w:rPr>
        <w:t xml:space="preserve"> (RTECS):</w:t>
      </w:r>
    </w:p>
    <w:p w14:paraId="39B28094" w14:textId="77777777" w:rsidR="00364CDD" w:rsidRPr="00C06EFA" w:rsidRDefault="00C06EFA" w:rsidP="00C06EFA">
      <w:pPr>
        <w:spacing w:line="240" w:lineRule="auto"/>
        <w:ind w:left="720"/>
        <w:contextualSpacing/>
        <w:rPr>
          <w:rFonts w:ascii="Cambria" w:hAnsi="Cambria"/>
        </w:rPr>
      </w:pPr>
      <w:r w:rsidRPr="00C06EFA">
        <w:rPr>
          <w:rFonts w:ascii="Cambria" w:hAnsi="Cambria"/>
        </w:rPr>
        <w:t>-</w:t>
      </w:r>
      <w:r>
        <w:rPr>
          <w:rFonts w:ascii="Cambria" w:hAnsi="Cambria"/>
        </w:rPr>
        <w:t xml:space="preserve"> </w:t>
      </w:r>
      <w:r w:rsidR="00364CDD" w:rsidRPr="00C06EFA">
        <w:rPr>
          <w:rFonts w:ascii="Cambria" w:hAnsi="Cambria"/>
        </w:rPr>
        <w:t xml:space="preserve">A definitive database maintained by NIOSH/CDC that provides verified </w:t>
      </w:r>
      <w:proofErr w:type="gramStart"/>
      <w:r w:rsidR="00364CDD" w:rsidRPr="00C06EFA">
        <w:rPr>
          <w:rFonts w:ascii="Cambria" w:hAnsi="Cambria"/>
        </w:rPr>
        <w:t>lethal dose</w:t>
      </w:r>
      <w:proofErr w:type="gramEnd"/>
      <w:r w:rsidR="00364CDD" w:rsidRPr="00C06EFA">
        <w:rPr>
          <w:rFonts w:ascii="Cambria" w:hAnsi="Cambria"/>
        </w:rPr>
        <w:t xml:space="preserve"> data for thousands of biological and chemical compounds.</w:t>
      </w:r>
    </w:p>
    <w:p w14:paraId="0FFB7B18" w14:textId="77777777" w:rsidR="00364CDD" w:rsidRDefault="00364CDD" w:rsidP="009A379C">
      <w:pPr>
        <w:spacing w:line="240" w:lineRule="auto"/>
        <w:contextualSpacing/>
        <w:rPr>
          <w:rFonts w:ascii="Cambria" w:hAnsi="Cambria"/>
        </w:rPr>
      </w:pPr>
    </w:p>
    <w:p w14:paraId="1AA49B9B" w14:textId="77777777" w:rsidR="00D61C10" w:rsidRDefault="00D61C10" w:rsidP="009A379C">
      <w:pPr>
        <w:spacing w:line="240" w:lineRule="auto"/>
        <w:contextualSpacing/>
        <w:rPr>
          <w:rFonts w:ascii="Cambria" w:hAnsi="Cambria"/>
        </w:rPr>
      </w:pPr>
    </w:p>
    <w:p w14:paraId="55AF3424" w14:textId="5E89FFC2" w:rsidR="00D61C10" w:rsidRPr="00D61C10" w:rsidRDefault="00D61C10" w:rsidP="00D61C10">
      <w:pPr>
        <w:pStyle w:val="Heading2"/>
        <w:rPr>
          <w:rFonts w:ascii="Cambria" w:hAnsi="Cambria"/>
          <w:b/>
          <w:bCs/>
          <w:color w:val="auto"/>
          <w:sz w:val="22"/>
          <w:szCs w:val="22"/>
        </w:rPr>
      </w:pPr>
      <w:r w:rsidRPr="65EB467A">
        <w:rPr>
          <w:rFonts w:ascii="Cambria" w:hAnsi="Cambria"/>
          <w:b/>
          <w:bCs/>
          <w:color w:val="auto"/>
          <w:sz w:val="22"/>
          <w:szCs w:val="22"/>
        </w:rPr>
        <w:lastRenderedPageBreak/>
        <w:t>Appendix A: Examples of High‑Potency, Non‑Select Toxins (LD₅₀‑Based)</w:t>
      </w:r>
    </w:p>
    <w:p w14:paraId="3D703BB8" w14:textId="13D2A136" w:rsidR="00D61C10" w:rsidRPr="007A43C7" w:rsidRDefault="00D61C10" w:rsidP="00D61C10">
      <w:pPr>
        <w:rPr>
          <w:rFonts w:ascii="Cambria" w:hAnsi="Cambria"/>
        </w:rPr>
      </w:pPr>
      <w:r w:rsidRPr="007A43C7">
        <w:rPr>
          <w:rFonts w:ascii="Cambria" w:hAnsi="Cambria"/>
        </w:rPr>
        <w:t>This table is provided for institutional risk assessment and policy triage only, not for experimental planning or dosing. Values are approximate orders of magnitude compiled from peer‑reviewed sources and authoritative databases cited below. Actual toxicity varies by route, formulation, species, and experimental conditions. Any work with these materials requires IBC review and approval.</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011"/>
        <w:gridCol w:w="2094"/>
        <w:gridCol w:w="1867"/>
        <w:gridCol w:w="2326"/>
      </w:tblGrid>
      <w:tr w:rsidR="00D61C10" w:rsidRPr="007A43C7" w14:paraId="5410D4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AFD83D" w14:textId="77777777" w:rsidR="00D61C10" w:rsidRPr="007A43C7" w:rsidRDefault="00D61C10">
            <w:pPr>
              <w:rPr>
                <w:rFonts w:ascii="Cambria" w:hAnsi="Cambria"/>
                <w:sz w:val="22"/>
                <w:szCs w:val="22"/>
              </w:rPr>
            </w:pPr>
            <w:r w:rsidRPr="007A43C7">
              <w:rPr>
                <w:rFonts w:ascii="Cambria" w:hAnsi="Cambria"/>
                <w:sz w:val="22"/>
                <w:szCs w:val="22"/>
              </w:rPr>
              <w:t>Toxin (Non‑Select Agent)</w:t>
            </w:r>
          </w:p>
        </w:tc>
        <w:tc>
          <w:tcPr>
            <w:tcW w:w="0" w:type="auto"/>
            <w:vAlign w:val="center"/>
          </w:tcPr>
          <w:p w14:paraId="16076033" w14:textId="77777777" w:rsidR="00D61C10" w:rsidRPr="007A43C7" w:rsidRDefault="00D61C10">
            <w:pP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Biological Source</w:t>
            </w:r>
          </w:p>
        </w:tc>
        <w:tc>
          <w:tcPr>
            <w:tcW w:w="0" w:type="auto"/>
            <w:vAlign w:val="center"/>
          </w:tcPr>
          <w:p w14:paraId="3402354F" w14:textId="77777777" w:rsidR="00D61C10" w:rsidRPr="007A43C7" w:rsidRDefault="00D61C10">
            <w:pP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Approximate Mammalian LD₅₀ (order of magnitude)</w:t>
            </w:r>
          </w:p>
        </w:tc>
        <w:tc>
          <w:tcPr>
            <w:tcW w:w="0" w:type="auto"/>
            <w:vAlign w:val="center"/>
          </w:tcPr>
          <w:p w14:paraId="53C3D4B1" w14:textId="77777777" w:rsidR="00D61C10" w:rsidRPr="007A43C7" w:rsidRDefault="00D61C10">
            <w:pP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Typical Research Context</w:t>
            </w:r>
          </w:p>
        </w:tc>
        <w:tc>
          <w:tcPr>
            <w:tcW w:w="0" w:type="auto"/>
            <w:vAlign w:val="center"/>
          </w:tcPr>
          <w:p w14:paraId="1AC35E99" w14:textId="77777777" w:rsidR="00D61C10" w:rsidRPr="007A43C7" w:rsidRDefault="00D61C10">
            <w:pP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Notes for IBC Review</w:t>
            </w:r>
          </w:p>
        </w:tc>
      </w:tr>
      <w:tr w:rsidR="00D61C10" w:rsidRPr="007A43C7" w14:paraId="7B568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AE253B" w14:textId="77777777" w:rsidR="00D61C10" w:rsidRPr="007A43C7" w:rsidRDefault="00D61C10">
            <w:pPr>
              <w:rPr>
                <w:rFonts w:ascii="Cambria" w:hAnsi="Cambria"/>
                <w:sz w:val="22"/>
                <w:szCs w:val="22"/>
              </w:rPr>
            </w:pPr>
            <w:r w:rsidRPr="007A43C7">
              <w:rPr>
                <w:rFonts w:ascii="Cambria" w:hAnsi="Cambria"/>
                <w:sz w:val="22"/>
                <w:szCs w:val="22"/>
              </w:rPr>
              <w:t>Diphtheria toxin</w:t>
            </w:r>
          </w:p>
        </w:tc>
        <w:tc>
          <w:tcPr>
            <w:tcW w:w="0" w:type="auto"/>
            <w:vAlign w:val="center"/>
          </w:tcPr>
          <w:p w14:paraId="47D7214C"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Corynebacterium diphtheriae</w:t>
            </w:r>
          </w:p>
        </w:tc>
        <w:tc>
          <w:tcPr>
            <w:tcW w:w="0" w:type="auto"/>
            <w:vAlign w:val="center"/>
          </w:tcPr>
          <w:p w14:paraId="23254AC9"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roofErr w:type="gramStart"/>
            <w:r w:rsidRPr="007A43C7">
              <w:rPr>
                <w:rFonts w:ascii="Cambria" w:hAnsi="Cambria"/>
                <w:sz w:val="22"/>
                <w:szCs w:val="22"/>
              </w:rPr>
              <w:t>µg/</w:t>
            </w:r>
            <w:proofErr w:type="gramEnd"/>
            <w:r w:rsidRPr="007A43C7">
              <w:rPr>
                <w:rFonts w:ascii="Cambria" w:hAnsi="Cambria"/>
                <w:sz w:val="22"/>
                <w:szCs w:val="22"/>
              </w:rPr>
              <w:t>kg range</w:t>
            </w:r>
          </w:p>
        </w:tc>
        <w:tc>
          <w:tcPr>
            <w:tcW w:w="0" w:type="auto"/>
            <w:vAlign w:val="center"/>
          </w:tcPr>
          <w:p w14:paraId="68B2C341"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Cell signaling, receptor studies</w:t>
            </w:r>
          </w:p>
        </w:tc>
        <w:tc>
          <w:tcPr>
            <w:tcW w:w="0" w:type="auto"/>
            <w:vAlign w:val="center"/>
          </w:tcPr>
          <w:p w14:paraId="2CF98455"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Extremely potent protein toxin; aerosol and parenteral risk</w:t>
            </w:r>
          </w:p>
        </w:tc>
      </w:tr>
      <w:tr w:rsidR="00D61C10" w:rsidRPr="007A43C7" w14:paraId="75FE1DD5"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14:paraId="4114B207" w14:textId="77777777" w:rsidR="00D61C10" w:rsidRPr="007A43C7" w:rsidRDefault="00D61C10">
            <w:pPr>
              <w:rPr>
                <w:rFonts w:ascii="Cambria" w:hAnsi="Cambria"/>
                <w:sz w:val="22"/>
                <w:szCs w:val="22"/>
              </w:rPr>
            </w:pPr>
            <w:r w:rsidRPr="007A43C7">
              <w:rPr>
                <w:rFonts w:ascii="Cambria" w:hAnsi="Cambria"/>
                <w:sz w:val="22"/>
                <w:szCs w:val="22"/>
              </w:rPr>
              <w:t>Pertussis toxin</w:t>
            </w:r>
          </w:p>
        </w:tc>
        <w:tc>
          <w:tcPr>
            <w:tcW w:w="0" w:type="auto"/>
            <w:vAlign w:val="center"/>
          </w:tcPr>
          <w:p w14:paraId="51FE7F26"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Bordetella pertussis</w:t>
            </w:r>
          </w:p>
        </w:tc>
        <w:tc>
          <w:tcPr>
            <w:tcW w:w="0" w:type="auto"/>
            <w:vAlign w:val="center"/>
          </w:tcPr>
          <w:p w14:paraId="2B60AF05"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gramStart"/>
            <w:r w:rsidRPr="007A43C7">
              <w:rPr>
                <w:rFonts w:ascii="Cambria" w:hAnsi="Cambria"/>
                <w:sz w:val="22"/>
                <w:szCs w:val="22"/>
              </w:rPr>
              <w:t>µg/</w:t>
            </w:r>
            <w:proofErr w:type="gramEnd"/>
            <w:r w:rsidRPr="007A43C7">
              <w:rPr>
                <w:rFonts w:ascii="Cambria" w:hAnsi="Cambria"/>
                <w:sz w:val="22"/>
                <w:szCs w:val="22"/>
              </w:rPr>
              <w:t>kg range</w:t>
            </w:r>
          </w:p>
        </w:tc>
        <w:tc>
          <w:tcPr>
            <w:tcW w:w="0" w:type="auto"/>
            <w:vAlign w:val="center"/>
          </w:tcPr>
          <w:p w14:paraId="372720F8"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GPCR signaling, immunology</w:t>
            </w:r>
          </w:p>
        </w:tc>
        <w:tc>
          <w:tcPr>
            <w:tcW w:w="0" w:type="auto"/>
            <w:vAlign w:val="center"/>
          </w:tcPr>
          <w:p w14:paraId="73288EE0"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Multi‑subunit AB toxin</w:t>
            </w:r>
          </w:p>
        </w:tc>
      </w:tr>
      <w:tr w:rsidR="00D61C10" w:rsidRPr="007A43C7" w14:paraId="002EAB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CB7B53" w14:textId="77777777" w:rsidR="00D61C10" w:rsidRPr="007A43C7" w:rsidRDefault="00D61C10">
            <w:pPr>
              <w:rPr>
                <w:rFonts w:ascii="Cambria" w:hAnsi="Cambria"/>
                <w:sz w:val="22"/>
                <w:szCs w:val="22"/>
              </w:rPr>
            </w:pPr>
            <w:r w:rsidRPr="007A43C7">
              <w:rPr>
                <w:rFonts w:ascii="Cambria" w:hAnsi="Cambria"/>
                <w:sz w:val="22"/>
                <w:szCs w:val="22"/>
              </w:rPr>
              <w:t>Cholera toxin</w:t>
            </w:r>
          </w:p>
        </w:tc>
        <w:tc>
          <w:tcPr>
            <w:tcW w:w="0" w:type="auto"/>
            <w:vAlign w:val="center"/>
          </w:tcPr>
          <w:p w14:paraId="0946FE3D"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Vibrio cholerae</w:t>
            </w:r>
          </w:p>
        </w:tc>
        <w:tc>
          <w:tcPr>
            <w:tcW w:w="0" w:type="auto"/>
            <w:vAlign w:val="center"/>
          </w:tcPr>
          <w:p w14:paraId="039430E5"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mg/kg range</w:t>
            </w:r>
          </w:p>
        </w:tc>
        <w:tc>
          <w:tcPr>
            <w:tcW w:w="0" w:type="auto"/>
            <w:vAlign w:val="center"/>
          </w:tcPr>
          <w:p w14:paraId="672486A6"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Intestinal signaling, trafficking</w:t>
            </w:r>
          </w:p>
        </w:tc>
        <w:tc>
          <w:tcPr>
            <w:tcW w:w="0" w:type="auto"/>
            <w:vAlign w:val="center"/>
          </w:tcPr>
          <w:p w14:paraId="7F4E76C0"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Potent but less acutely toxic than diphtheria</w:t>
            </w:r>
          </w:p>
        </w:tc>
      </w:tr>
      <w:tr w:rsidR="00D61C10" w:rsidRPr="007A43C7" w14:paraId="6653CBB4"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14:paraId="19854BAE" w14:textId="77777777" w:rsidR="00D61C10" w:rsidRPr="007A43C7" w:rsidRDefault="00D61C10">
            <w:pPr>
              <w:rPr>
                <w:rFonts w:ascii="Cambria" w:hAnsi="Cambria"/>
                <w:sz w:val="22"/>
                <w:szCs w:val="22"/>
              </w:rPr>
            </w:pPr>
            <w:r w:rsidRPr="007A43C7">
              <w:rPr>
                <w:rFonts w:ascii="Cambria" w:hAnsi="Cambria"/>
                <w:sz w:val="22"/>
                <w:szCs w:val="22"/>
              </w:rPr>
              <w:t>Shiga toxin (Stx1/Stx2)</w:t>
            </w:r>
          </w:p>
        </w:tc>
        <w:tc>
          <w:tcPr>
            <w:tcW w:w="0" w:type="auto"/>
            <w:vAlign w:val="center"/>
          </w:tcPr>
          <w:p w14:paraId="29B523BC"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Shigella/E. coli</w:t>
            </w:r>
          </w:p>
        </w:tc>
        <w:tc>
          <w:tcPr>
            <w:tcW w:w="0" w:type="auto"/>
            <w:vAlign w:val="center"/>
          </w:tcPr>
          <w:p w14:paraId="2528BD1E"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gramStart"/>
            <w:r w:rsidRPr="007A43C7">
              <w:rPr>
                <w:rFonts w:ascii="Cambria" w:hAnsi="Cambria"/>
                <w:sz w:val="22"/>
                <w:szCs w:val="22"/>
              </w:rPr>
              <w:t>µg/</w:t>
            </w:r>
            <w:proofErr w:type="gramEnd"/>
            <w:r w:rsidRPr="007A43C7">
              <w:rPr>
                <w:rFonts w:ascii="Cambria" w:hAnsi="Cambria"/>
                <w:sz w:val="22"/>
                <w:szCs w:val="22"/>
              </w:rPr>
              <w:t>kg range</w:t>
            </w:r>
          </w:p>
        </w:tc>
        <w:tc>
          <w:tcPr>
            <w:tcW w:w="0" w:type="auto"/>
            <w:vAlign w:val="center"/>
          </w:tcPr>
          <w:p w14:paraId="26EC0171"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Ribosome inhibition studies</w:t>
            </w:r>
          </w:p>
        </w:tc>
        <w:tc>
          <w:tcPr>
            <w:tcW w:w="0" w:type="auto"/>
            <w:vAlign w:val="center"/>
          </w:tcPr>
          <w:p w14:paraId="470001D9"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Severe systemic effects</w:t>
            </w:r>
          </w:p>
        </w:tc>
      </w:tr>
      <w:tr w:rsidR="00D61C10" w:rsidRPr="007A43C7" w14:paraId="2630BD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BAAB7B" w14:textId="3980696C" w:rsidR="00D61C10" w:rsidRPr="007A43C7" w:rsidRDefault="00D61C10">
            <w:pPr>
              <w:rPr>
                <w:rFonts w:ascii="Cambria" w:hAnsi="Cambria"/>
                <w:sz w:val="22"/>
                <w:szCs w:val="22"/>
              </w:rPr>
            </w:pPr>
            <w:r w:rsidRPr="007A43C7">
              <w:rPr>
                <w:rFonts w:ascii="Cambria" w:hAnsi="Cambria"/>
                <w:sz w:val="22"/>
                <w:szCs w:val="22"/>
              </w:rPr>
              <w:t>Tetanus toxin (non‑select agent quantities/forms)</w:t>
            </w:r>
          </w:p>
        </w:tc>
        <w:tc>
          <w:tcPr>
            <w:tcW w:w="0" w:type="auto"/>
            <w:vAlign w:val="center"/>
          </w:tcPr>
          <w:p w14:paraId="0F516787"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Clostridium tetani</w:t>
            </w:r>
          </w:p>
        </w:tc>
        <w:tc>
          <w:tcPr>
            <w:tcW w:w="0" w:type="auto"/>
            <w:vAlign w:val="center"/>
          </w:tcPr>
          <w:p w14:paraId="40FD515A"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ng–µg/kg range</w:t>
            </w:r>
          </w:p>
        </w:tc>
        <w:tc>
          <w:tcPr>
            <w:tcW w:w="0" w:type="auto"/>
            <w:vAlign w:val="center"/>
          </w:tcPr>
          <w:p w14:paraId="5126C316"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Neurobiology (restricted contexts)</w:t>
            </w:r>
          </w:p>
        </w:tc>
        <w:tc>
          <w:tcPr>
            <w:tcW w:w="0" w:type="auto"/>
            <w:vAlign w:val="center"/>
          </w:tcPr>
          <w:p w14:paraId="5716F137"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Note: Regulatory status depends on form/quantity; consult IBC/OSP</w:t>
            </w:r>
          </w:p>
        </w:tc>
      </w:tr>
      <w:tr w:rsidR="00D61C10" w:rsidRPr="007A43C7" w14:paraId="2BDDD2BF"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14:paraId="36D3340F" w14:textId="77777777" w:rsidR="00D61C10" w:rsidRPr="007A43C7" w:rsidRDefault="00D61C10">
            <w:pPr>
              <w:rPr>
                <w:rFonts w:ascii="Cambria" w:hAnsi="Cambria"/>
                <w:sz w:val="22"/>
                <w:szCs w:val="22"/>
              </w:rPr>
            </w:pPr>
            <w:r w:rsidRPr="007A43C7">
              <w:rPr>
                <w:rFonts w:ascii="Cambria" w:hAnsi="Cambria"/>
                <w:sz w:val="22"/>
                <w:szCs w:val="22"/>
              </w:rPr>
              <w:t>Snake venoms (selected fractions)</w:t>
            </w:r>
          </w:p>
        </w:tc>
        <w:tc>
          <w:tcPr>
            <w:tcW w:w="0" w:type="auto"/>
            <w:vAlign w:val="center"/>
          </w:tcPr>
          <w:p w14:paraId="5F810454"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Various</w:t>
            </w:r>
          </w:p>
        </w:tc>
        <w:tc>
          <w:tcPr>
            <w:tcW w:w="0" w:type="auto"/>
            <w:vAlign w:val="center"/>
          </w:tcPr>
          <w:p w14:paraId="73900565"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gramStart"/>
            <w:r w:rsidRPr="007A43C7">
              <w:rPr>
                <w:rFonts w:ascii="Cambria" w:hAnsi="Cambria"/>
                <w:sz w:val="22"/>
                <w:szCs w:val="22"/>
              </w:rPr>
              <w:t>µg/</w:t>
            </w:r>
            <w:proofErr w:type="gramEnd"/>
            <w:r w:rsidRPr="007A43C7">
              <w:rPr>
                <w:rFonts w:ascii="Cambria" w:hAnsi="Cambria"/>
                <w:sz w:val="22"/>
                <w:szCs w:val="22"/>
              </w:rPr>
              <w:t>kg range</w:t>
            </w:r>
          </w:p>
        </w:tc>
        <w:tc>
          <w:tcPr>
            <w:tcW w:w="0" w:type="auto"/>
            <w:vAlign w:val="center"/>
          </w:tcPr>
          <w:p w14:paraId="772BEFB2"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Pharmacology, ion channels</w:t>
            </w:r>
          </w:p>
        </w:tc>
        <w:tc>
          <w:tcPr>
            <w:tcW w:w="0" w:type="auto"/>
            <w:vAlign w:val="center"/>
          </w:tcPr>
          <w:p w14:paraId="6B97712E" w14:textId="77777777" w:rsidR="00D61C10" w:rsidRPr="007A43C7" w:rsidRDefault="00D61C10">
            <w:pP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7A43C7">
              <w:rPr>
                <w:rFonts w:ascii="Cambria" w:hAnsi="Cambria"/>
                <w:sz w:val="22"/>
                <w:szCs w:val="22"/>
              </w:rPr>
              <w:t>Composition varies; fraction potency differs</w:t>
            </w:r>
          </w:p>
        </w:tc>
      </w:tr>
      <w:tr w:rsidR="00D61C10" w:rsidRPr="007A43C7" w14:paraId="2B2CD5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EAA58D" w14:textId="77777777" w:rsidR="00D61C10" w:rsidRPr="007A43C7" w:rsidRDefault="00D61C10">
            <w:pPr>
              <w:rPr>
                <w:rFonts w:ascii="Cambria" w:hAnsi="Cambria"/>
                <w:sz w:val="22"/>
                <w:szCs w:val="22"/>
              </w:rPr>
            </w:pPr>
            <w:r w:rsidRPr="007A43C7">
              <w:rPr>
                <w:rFonts w:ascii="Cambria" w:hAnsi="Cambria"/>
                <w:sz w:val="22"/>
                <w:szCs w:val="22"/>
              </w:rPr>
              <w:t xml:space="preserve">Plant RIPs (e.g., </w:t>
            </w:r>
            <w:proofErr w:type="spellStart"/>
            <w:r w:rsidRPr="007A43C7">
              <w:rPr>
                <w:rFonts w:ascii="Cambria" w:hAnsi="Cambria"/>
                <w:sz w:val="22"/>
                <w:szCs w:val="22"/>
              </w:rPr>
              <w:t>saporin</w:t>
            </w:r>
            <w:proofErr w:type="spellEnd"/>
            <w:r w:rsidRPr="007A43C7">
              <w:rPr>
                <w:rFonts w:ascii="Cambria" w:hAnsi="Cambria"/>
                <w:sz w:val="22"/>
                <w:szCs w:val="22"/>
              </w:rPr>
              <w:t>)</w:t>
            </w:r>
          </w:p>
        </w:tc>
        <w:tc>
          <w:tcPr>
            <w:tcW w:w="0" w:type="auto"/>
            <w:vAlign w:val="center"/>
          </w:tcPr>
          <w:p w14:paraId="7FDE0CF4"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Plants</w:t>
            </w:r>
          </w:p>
        </w:tc>
        <w:tc>
          <w:tcPr>
            <w:tcW w:w="0" w:type="auto"/>
            <w:vAlign w:val="center"/>
          </w:tcPr>
          <w:p w14:paraId="04A3DADD"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roofErr w:type="gramStart"/>
            <w:r w:rsidRPr="007A43C7">
              <w:rPr>
                <w:rFonts w:ascii="Cambria" w:hAnsi="Cambria"/>
                <w:sz w:val="22"/>
                <w:szCs w:val="22"/>
              </w:rPr>
              <w:t>µg/</w:t>
            </w:r>
            <w:proofErr w:type="gramEnd"/>
            <w:r w:rsidRPr="007A43C7">
              <w:rPr>
                <w:rFonts w:ascii="Cambria" w:hAnsi="Cambria"/>
                <w:sz w:val="22"/>
                <w:szCs w:val="22"/>
              </w:rPr>
              <w:t>kg range</w:t>
            </w:r>
          </w:p>
        </w:tc>
        <w:tc>
          <w:tcPr>
            <w:tcW w:w="0" w:type="auto"/>
            <w:vAlign w:val="center"/>
          </w:tcPr>
          <w:p w14:paraId="1D100B42"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Targeted toxins, delivery systems</w:t>
            </w:r>
          </w:p>
        </w:tc>
        <w:tc>
          <w:tcPr>
            <w:tcW w:w="0" w:type="auto"/>
            <w:vAlign w:val="center"/>
          </w:tcPr>
          <w:p w14:paraId="0B8C9495" w14:textId="77777777" w:rsidR="00D61C10" w:rsidRPr="007A43C7" w:rsidRDefault="00D61C10">
            <w:pP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7A43C7">
              <w:rPr>
                <w:rFonts w:ascii="Cambria" w:hAnsi="Cambria"/>
                <w:sz w:val="22"/>
                <w:szCs w:val="22"/>
              </w:rPr>
              <w:t>Not all RIPs are select agents</w:t>
            </w:r>
          </w:p>
        </w:tc>
      </w:tr>
    </w:tbl>
    <w:p w14:paraId="4416C89D" w14:textId="77777777" w:rsidR="00D61C10" w:rsidRPr="00D63157" w:rsidRDefault="00D61C10" w:rsidP="009A379C">
      <w:pPr>
        <w:spacing w:line="240" w:lineRule="auto"/>
        <w:contextualSpacing/>
        <w:rPr>
          <w:rFonts w:ascii="Cambria" w:hAnsi="Cambria"/>
        </w:rPr>
      </w:pPr>
    </w:p>
    <w:p w14:paraId="5630E29E" w14:textId="7CF19FC0" w:rsidR="00565B2D" w:rsidRPr="006D3BF3" w:rsidRDefault="00D46ED1" w:rsidP="00D61C10">
      <w:pPr>
        <w:spacing w:line="240" w:lineRule="auto"/>
        <w:contextualSpacing/>
        <w:rPr>
          <w:rFonts w:ascii="Cambria" w:hAnsi="Cambria"/>
        </w:rPr>
      </w:pPr>
      <w:r>
        <w:rPr>
          <w:rFonts w:ascii="Cambria" w:hAnsi="Cambria"/>
        </w:rPr>
        <w:pict w14:anchorId="465CBCAB">
          <v:rect id="_x0000_i1025" style="width:0;height:1.5pt" o:hralign="center" o:hrstd="t" o:hr="t" fillcolor="#a0a0a0" stroked="f"/>
        </w:pict>
      </w:r>
    </w:p>
    <w:sectPr w:rsidR="00565B2D" w:rsidRPr="006D3BF3" w:rsidSect="003A0443">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986E" w14:textId="77777777" w:rsidR="001C79CF" w:rsidRDefault="001C79CF" w:rsidP="003A0443">
      <w:pPr>
        <w:spacing w:after="0" w:line="240" w:lineRule="auto"/>
      </w:pPr>
      <w:r>
        <w:separator/>
      </w:r>
    </w:p>
  </w:endnote>
  <w:endnote w:type="continuationSeparator" w:id="0">
    <w:p w14:paraId="2823459F" w14:textId="77777777" w:rsidR="001C79CF" w:rsidRDefault="001C79CF" w:rsidP="003A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FABC" w14:textId="77777777" w:rsidR="003A0443" w:rsidRPr="003A0443" w:rsidRDefault="003A0443" w:rsidP="007D2C15">
    <w:pPr>
      <w:pStyle w:val="Footer"/>
      <w:pBdr>
        <w:top w:val="single" w:sz="4" w:space="1" w:color="D9D9D9" w:themeColor="background1" w:themeShade="D9"/>
      </w:pBdr>
      <w:jc w:val="center"/>
      <w:rPr>
        <w:rFonts w:ascii="Cambria" w:hAnsi="Cambria"/>
      </w:rPr>
    </w:pPr>
    <w:r w:rsidRPr="004155ED">
      <w:rPr>
        <w:rFonts w:ascii="Cambria" w:hAnsi="Cambria"/>
        <w:sz w:val="20"/>
        <w:szCs w:val="20"/>
      </w:rPr>
      <w:t>Policy:</w:t>
    </w:r>
    <w:r w:rsidR="005D13CE">
      <w:rPr>
        <w:rFonts w:ascii="Cambria" w:hAnsi="Cambria"/>
        <w:sz w:val="20"/>
        <w:szCs w:val="20"/>
      </w:rPr>
      <w:t xml:space="preserve"> </w:t>
    </w:r>
    <w:r w:rsidR="007D5FE3">
      <w:rPr>
        <w:rFonts w:ascii="Cambria" w:hAnsi="Cambria"/>
        <w:sz w:val="20"/>
        <w:szCs w:val="20"/>
      </w:rPr>
      <w:t>Toxins</w:t>
    </w:r>
    <w:r w:rsidRPr="004155ED">
      <w:rPr>
        <w:rFonts w:ascii="Cambria" w:hAnsi="Cambria"/>
        <w:sz w:val="20"/>
        <w:szCs w:val="20"/>
      </w:rPr>
      <w:tab/>
    </w:r>
    <w:sdt>
      <w:sdtPr>
        <w:rPr>
          <w:rFonts w:ascii="Cambria" w:hAnsi="Cambria"/>
          <w:sz w:val="20"/>
          <w:szCs w:val="20"/>
        </w:rPr>
        <w:id w:val="-263453092"/>
        <w:docPartObj>
          <w:docPartGallery w:val="Page Numbers (Bottom of Page)"/>
          <w:docPartUnique/>
        </w:docPartObj>
      </w:sdtPr>
      <w:sdtEndPr>
        <w:rPr>
          <w:spacing w:val="60"/>
        </w:rPr>
      </w:sdtEndPr>
      <w:sdtContent>
        <w:r w:rsidRPr="004155ED">
          <w:rPr>
            <w:rFonts w:ascii="Cambria" w:hAnsi="Cambria"/>
            <w:sz w:val="20"/>
            <w:szCs w:val="20"/>
          </w:rPr>
          <w:tab/>
        </w:r>
        <w:r w:rsidRPr="004155ED">
          <w:rPr>
            <w:rFonts w:ascii="Cambria" w:hAnsi="Cambria"/>
            <w:sz w:val="20"/>
            <w:szCs w:val="20"/>
          </w:rPr>
          <w:fldChar w:fldCharType="begin"/>
        </w:r>
        <w:r w:rsidRPr="004155ED">
          <w:rPr>
            <w:rFonts w:ascii="Cambria" w:hAnsi="Cambria"/>
            <w:sz w:val="20"/>
            <w:szCs w:val="20"/>
          </w:rPr>
          <w:instrText xml:space="preserve"> PAGE   \* MERGEFORMAT </w:instrText>
        </w:r>
        <w:r w:rsidRPr="004155ED">
          <w:rPr>
            <w:rFonts w:ascii="Cambria" w:hAnsi="Cambria"/>
            <w:sz w:val="20"/>
            <w:szCs w:val="20"/>
          </w:rPr>
          <w:fldChar w:fldCharType="separate"/>
        </w:r>
        <w:r w:rsidRPr="004155ED">
          <w:rPr>
            <w:rFonts w:ascii="Cambria" w:hAnsi="Cambria"/>
            <w:noProof/>
            <w:sz w:val="20"/>
            <w:szCs w:val="20"/>
          </w:rPr>
          <w:t>2</w:t>
        </w:r>
        <w:r w:rsidRPr="004155ED">
          <w:rPr>
            <w:rFonts w:ascii="Cambria" w:hAnsi="Cambria"/>
            <w:noProof/>
            <w:sz w:val="20"/>
            <w:szCs w:val="20"/>
          </w:rPr>
          <w:fldChar w:fldCharType="end"/>
        </w:r>
        <w:r w:rsidRPr="004155ED">
          <w:rPr>
            <w:rFonts w:ascii="Cambria" w:hAnsi="Cambria"/>
            <w:sz w:val="20"/>
            <w:szCs w:val="20"/>
          </w:rPr>
          <w:t xml:space="preserve"> | </w:t>
        </w:r>
        <w:r w:rsidRPr="00D46ED1">
          <w:rPr>
            <w:rFonts w:ascii="Cambria" w:hAnsi="Cambria"/>
            <w:spacing w:val="60"/>
            <w:sz w:val="20"/>
            <w:szCs w:val="20"/>
          </w:rPr>
          <w:t>Page</w:t>
        </w:r>
      </w:sdtContent>
    </w:sdt>
  </w:p>
  <w:p w14:paraId="1ACFC76E" w14:textId="77777777" w:rsidR="003A0443" w:rsidRPr="003A0443" w:rsidRDefault="003A0443">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A61F" w14:textId="77777777" w:rsidR="001C79CF" w:rsidRDefault="001C79CF" w:rsidP="003A0443">
      <w:pPr>
        <w:spacing w:after="0" w:line="240" w:lineRule="auto"/>
      </w:pPr>
      <w:r>
        <w:separator/>
      </w:r>
    </w:p>
  </w:footnote>
  <w:footnote w:type="continuationSeparator" w:id="0">
    <w:p w14:paraId="4790FD4F" w14:textId="77777777" w:rsidR="001C79CF" w:rsidRDefault="001C79CF" w:rsidP="003A0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F66"/>
    <w:multiLevelType w:val="hybridMultilevel"/>
    <w:tmpl w:val="C4BA895C"/>
    <w:lvl w:ilvl="0" w:tplc="2C704E22">
      <w:start w:val="1"/>
      <w:numFmt w:val="bullet"/>
      <w:lvlText w:val=""/>
      <w:lvlJc w:val="left"/>
      <w:pPr>
        <w:ind w:left="720" w:hanging="360"/>
      </w:pPr>
      <w:rPr>
        <w:rFonts w:ascii="Symbol" w:eastAsia="Symbol" w:hAnsi="Symbol" w:cs="Symbol"/>
      </w:rPr>
    </w:lvl>
    <w:lvl w:ilvl="1" w:tplc="CCAA4B9A">
      <w:start w:val="1"/>
      <w:numFmt w:val="bullet"/>
      <w:lvlText w:val="o"/>
      <w:lvlJc w:val="left"/>
      <w:pPr>
        <w:ind w:left="1440" w:hanging="360"/>
      </w:pPr>
      <w:rPr>
        <w:rFonts w:ascii="Courier New" w:eastAsia="Courier New" w:hAnsi="Courier New" w:cs="Courier New"/>
      </w:rPr>
    </w:lvl>
    <w:lvl w:ilvl="2" w:tplc="D8EC8D9A">
      <w:start w:val="1"/>
      <w:numFmt w:val="bullet"/>
      <w:lvlText w:val=""/>
      <w:lvlJc w:val="left"/>
      <w:pPr>
        <w:ind w:left="2160" w:hanging="360"/>
      </w:pPr>
      <w:rPr>
        <w:rFonts w:ascii="Wingdings" w:eastAsia="Wingdings" w:hAnsi="Wingdings" w:cs="Wingdings"/>
      </w:rPr>
    </w:lvl>
    <w:lvl w:ilvl="3" w:tplc="C5981166">
      <w:start w:val="1"/>
      <w:numFmt w:val="bullet"/>
      <w:lvlText w:val=""/>
      <w:lvlJc w:val="left"/>
      <w:pPr>
        <w:ind w:left="2880" w:hanging="360"/>
      </w:pPr>
      <w:rPr>
        <w:rFonts w:ascii="Symbol" w:eastAsia="Symbol" w:hAnsi="Symbol" w:cs="Symbol"/>
      </w:rPr>
    </w:lvl>
    <w:lvl w:ilvl="4" w:tplc="B6985522">
      <w:start w:val="1"/>
      <w:numFmt w:val="bullet"/>
      <w:lvlText w:val="o"/>
      <w:lvlJc w:val="left"/>
      <w:pPr>
        <w:ind w:left="3600" w:hanging="360"/>
      </w:pPr>
      <w:rPr>
        <w:rFonts w:ascii="Courier New" w:eastAsia="Courier New" w:hAnsi="Courier New" w:cs="Courier New"/>
      </w:rPr>
    </w:lvl>
    <w:lvl w:ilvl="5" w:tplc="5FFA7F02">
      <w:start w:val="1"/>
      <w:numFmt w:val="bullet"/>
      <w:lvlText w:val=""/>
      <w:lvlJc w:val="left"/>
      <w:pPr>
        <w:ind w:left="4320" w:hanging="360"/>
      </w:pPr>
      <w:rPr>
        <w:rFonts w:ascii="Wingdings" w:eastAsia="Wingdings" w:hAnsi="Wingdings" w:cs="Wingdings"/>
      </w:rPr>
    </w:lvl>
    <w:lvl w:ilvl="6" w:tplc="D9BE0FB2">
      <w:start w:val="1"/>
      <w:numFmt w:val="bullet"/>
      <w:lvlText w:val=""/>
      <w:lvlJc w:val="left"/>
      <w:pPr>
        <w:ind w:left="5040" w:hanging="360"/>
      </w:pPr>
      <w:rPr>
        <w:rFonts w:ascii="Symbol" w:eastAsia="Symbol" w:hAnsi="Symbol" w:cs="Symbol"/>
      </w:rPr>
    </w:lvl>
    <w:lvl w:ilvl="7" w:tplc="A1444DE8">
      <w:start w:val="1"/>
      <w:numFmt w:val="bullet"/>
      <w:lvlText w:val="o"/>
      <w:lvlJc w:val="left"/>
      <w:pPr>
        <w:ind w:left="5760" w:hanging="360"/>
      </w:pPr>
      <w:rPr>
        <w:rFonts w:ascii="Courier New" w:eastAsia="Courier New" w:hAnsi="Courier New" w:cs="Courier New"/>
      </w:rPr>
    </w:lvl>
    <w:lvl w:ilvl="8" w:tplc="29A4EA1E">
      <w:start w:val="1"/>
      <w:numFmt w:val="bullet"/>
      <w:lvlText w:val=""/>
      <w:lvlJc w:val="left"/>
      <w:pPr>
        <w:ind w:left="6480" w:hanging="360"/>
      </w:pPr>
      <w:rPr>
        <w:rFonts w:ascii="Wingdings" w:eastAsia="Wingdings" w:hAnsi="Wingdings" w:cs="Wingdings"/>
      </w:rPr>
    </w:lvl>
  </w:abstractNum>
  <w:abstractNum w:abstractNumId="1" w15:restartNumberingAfterBreak="0">
    <w:nsid w:val="0C1705B0"/>
    <w:multiLevelType w:val="multilevel"/>
    <w:tmpl w:val="4AEA5B6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inorHAnsi"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51CD5"/>
    <w:multiLevelType w:val="hybridMultilevel"/>
    <w:tmpl w:val="25D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B0426"/>
    <w:multiLevelType w:val="multilevel"/>
    <w:tmpl w:val="AFB4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34206"/>
    <w:multiLevelType w:val="multilevel"/>
    <w:tmpl w:val="43C8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70C53"/>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021B4"/>
    <w:multiLevelType w:val="multilevel"/>
    <w:tmpl w:val="599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C3657"/>
    <w:multiLevelType w:val="multilevel"/>
    <w:tmpl w:val="C37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63989"/>
    <w:multiLevelType w:val="multilevel"/>
    <w:tmpl w:val="F658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27CF4"/>
    <w:multiLevelType w:val="multilevel"/>
    <w:tmpl w:val="ECD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F588B"/>
    <w:multiLevelType w:val="hybridMultilevel"/>
    <w:tmpl w:val="963C1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217BCE"/>
    <w:multiLevelType w:val="multilevel"/>
    <w:tmpl w:val="DE02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A741B"/>
    <w:multiLevelType w:val="hybridMultilevel"/>
    <w:tmpl w:val="1F58B758"/>
    <w:lvl w:ilvl="0" w:tplc="3056AACE">
      <w:start w:val="1"/>
      <w:numFmt w:val="bullet"/>
      <w:lvlText w:val=""/>
      <w:lvlJc w:val="left"/>
      <w:pPr>
        <w:ind w:left="720" w:hanging="360"/>
      </w:pPr>
      <w:rPr>
        <w:rFonts w:ascii="Symbol" w:eastAsia="Symbol" w:hAnsi="Symbol" w:cs="Symbol"/>
      </w:rPr>
    </w:lvl>
    <w:lvl w:ilvl="1" w:tplc="4CD05F56">
      <w:start w:val="1"/>
      <w:numFmt w:val="bullet"/>
      <w:lvlText w:val="o"/>
      <w:lvlJc w:val="left"/>
      <w:pPr>
        <w:ind w:left="1440" w:hanging="360"/>
      </w:pPr>
      <w:rPr>
        <w:rFonts w:ascii="Courier New" w:eastAsia="Courier New" w:hAnsi="Courier New" w:cs="Courier New"/>
      </w:rPr>
    </w:lvl>
    <w:lvl w:ilvl="2" w:tplc="E702BD96">
      <w:start w:val="1"/>
      <w:numFmt w:val="bullet"/>
      <w:lvlText w:val=""/>
      <w:lvlJc w:val="left"/>
      <w:pPr>
        <w:ind w:left="2160" w:hanging="360"/>
      </w:pPr>
      <w:rPr>
        <w:rFonts w:ascii="Wingdings" w:eastAsia="Wingdings" w:hAnsi="Wingdings" w:cs="Wingdings"/>
      </w:rPr>
    </w:lvl>
    <w:lvl w:ilvl="3" w:tplc="D4D21E2A">
      <w:start w:val="1"/>
      <w:numFmt w:val="bullet"/>
      <w:lvlText w:val=""/>
      <w:lvlJc w:val="left"/>
      <w:pPr>
        <w:ind w:left="2880" w:hanging="360"/>
      </w:pPr>
      <w:rPr>
        <w:rFonts w:ascii="Symbol" w:eastAsia="Symbol" w:hAnsi="Symbol" w:cs="Symbol"/>
      </w:rPr>
    </w:lvl>
    <w:lvl w:ilvl="4" w:tplc="A5D210BA">
      <w:start w:val="1"/>
      <w:numFmt w:val="bullet"/>
      <w:lvlText w:val="o"/>
      <w:lvlJc w:val="left"/>
      <w:pPr>
        <w:ind w:left="3600" w:hanging="360"/>
      </w:pPr>
      <w:rPr>
        <w:rFonts w:ascii="Courier New" w:eastAsia="Courier New" w:hAnsi="Courier New" w:cs="Courier New"/>
      </w:rPr>
    </w:lvl>
    <w:lvl w:ilvl="5" w:tplc="F75E6CF2">
      <w:start w:val="1"/>
      <w:numFmt w:val="bullet"/>
      <w:lvlText w:val=""/>
      <w:lvlJc w:val="left"/>
      <w:pPr>
        <w:ind w:left="4320" w:hanging="360"/>
      </w:pPr>
      <w:rPr>
        <w:rFonts w:ascii="Wingdings" w:eastAsia="Wingdings" w:hAnsi="Wingdings" w:cs="Wingdings"/>
      </w:rPr>
    </w:lvl>
    <w:lvl w:ilvl="6" w:tplc="11C033D6">
      <w:start w:val="1"/>
      <w:numFmt w:val="bullet"/>
      <w:lvlText w:val=""/>
      <w:lvlJc w:val="left"/>
      <w:pPr>
        <w:ind w:left="5040" w:hanging="360"/>
      </w:pPr>
      <w:rPr>
        <w:rFonts w:ascii="Symbol" w:eastAsia="Symbol" w:hAnsi="Symbol" w:cs="Symbol"/>
      </w:rPr>
    </w:lvl>
    <w:lvl w:ilvl="7" w:tplc="06C03B8E">
      <w:start w:val="1"/>
      <w:numFmt w:val="bullet"/>
      <w:lvlText w:val="o"/>
      <w:lvlJc w:val="left"/>
      <w:pPr>
        <w:ind w:left="5760" w:hanging="360"/>
      </w:pPr>
      <w:rPr>
        <w:rFonts w:ascii="Courier New" w:eastAsia="Courier New" w:hAnsi="Courier New" w:cs="Courier New"/>
      </w:rPr>
    </w:lvl>
    <w:lvl w:ilvl="8" w:tplc="259E82AA">
      <w:start w:val="1"/>
      <w:numFmt w:val="bullet"/>
      <w:lvlText w:val=""/>
      <w:lvlJc w:val="left"/>
      <w:pPr>
        <w:ind w:left="6480" w:hanging="360"/>
      </w:pPr>
      <w:rPr>
        <w:rFonts w:ascii="Wingdings" w:eastAsia="Wingdings" w:hAnsi="Wingdings" w:cs="Wingdings"/>
      </w:rPr>
    </w:lvl>
  </w:abstractNum>
  <w:abstractNum w:abstractNumId="13" w15:restartNumberingAfterBreak="0">
    <w:nsid w:val="50E82B0C"/>
    <w:multiLevelType w:val="multilevel"/>
    <w:tmpl w:val="5EF2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483059"/>
    <w:multiLevelType w:val="multilevel"/>
    <w:tmpl w:val="2754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338A9"/>
    <w:multiLevelType w:val="multilevel"/>
    <w:tmpl w:val="F31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5D61D8"/>
    <w:multiLevelType w:val="hybridMultilevel"/>
    <w:tmpl w:val="D5B6400E"/>
    <w:lvl w:ilvl="0" w:tplc="A2B0BB66">
      <w:start w:val="1"/>
      <w:numFmt w:val="bullet"/>
      <w:lvlText w:val=""/>
      <w:lvlJc w:val="left"/>
      <w:pPr>
        <w:ind w:left="720" w:hanging="360"/>
      </w:pPr>
      <w:rPr>
        <w:rFonts w:ascii="Symbol" w:eastAsia="Symbol" w:hAnsi="Symbol" w:cs="Symbol"/>
      </w:rPr>
    </w:lvl>
    <w:lvl w:ilvl="1" w:tplc="D46E2816">
      <w:start w:val="1"/>
      <w:numFmt w:val="bullet"/>
      <w:lvlText w:val="o"/>
      <w:lvlJc w:val="left"/>
      <w:pPr>
        <w:ind w:left="1440" w:hanging="360"/>
      </w:pPr>
      <w:rPr>
        <w:rFonts w:ascii="Courier New" w:eastAsia="Courier New" w:hAnsi="Courier New" w:cs="Courier New"/>
      </w:rPr>
    </w:lvl>
    <w:lvl w:ilvl="2" w:tplc="209456BE">
      <w:start w:val="1"/>
      <w:numFmt w:val="bullet"/>
      <w:lvlText w:val=""/>
      <w:lvlJc w:val="left"/>
      <w:pPr>
        <w:ind w:left="2160" w:hanging="360"/>
      </w:pPr>
      <w:rPr>
        <w:rFonts w:ascii="Wingdings" w:eastAsia="Wingdings" w:hAnsi="Wingdings" w:cs="Wingdings"/>
      </w:rPr>
    </w:lvl>
    <w:lvl w:ilvl="3" w:tplc="53763844">
      <w:start w:val="1"/>
      <w:numFmt w:val="bullet"/>
      <w:lvlText w:val=""/>
      <w:lvlJc w:val="left"/>
      <w:pPr>
        <w:ind w:left="2880" w:hanging="360"/>
      </w:pPr>
      <w:rPr>
        <w:rFonts w:ascii="Symbol" w:eastAsia="Symbol" w:hAnsi="Symbol" w:cs="Symbol"/>
      </w:rPr>
    </w:lvl>
    <w:lvl w:ilvl="4" w:tplc="E946D642">
      <w:start w:val="1"/>
      <w:numFmt w:val="bullet"/>
      <w:lvlText w:val="o"/>
      <w:lvlJc w:val="left"/>
      <w:pPr>
        <w:ind w:left="3600" w:hanging="360"/>
      </w:pPr>
      <w:rPr>
        <w:rFonts w:ascii="Courier New" w:eastAsia="Courier New" w:hAnsi="Courier New" w:cs="Courier New"/>
      </w:rPr>
    </w:lvl>
    <w:lvl w:ilvl="5" w:tplc="602AC00E">
      <w:start w:val="1"/>
      <w:numFmt w:val="bullet"/>
      <w:lvlText w:val=""/>
      <w:lvlJc w:val="left"/>
      <w:pPr>
        <w:ind w:left="4320" w:hanging="360"/>
      </w:pPr>
      <w:rPr>
        <w:rFonts w:ascii="Wingdings" w:eastAsia="Wingdings" w:hAnsi="Wingdings" w:cs="Wingdings"/>
      </w:rPr>
    </w:lvl>
    <w:lvl w:ilvl="6" w:tplc="7852616C">
      <w:start w:val="1"/>
      <w:numFmt w:val="bullet"/>
      <w:lvlText w:val=""/>
      <w:lvlJc w:val="left"/>
      <w:pPr>
        <w:ind w:left="5040" w:hanging="360"/>
      </w:pPr>
      <w:rPr>
        <w:rFonts w:ascii="Symbol" w:eastAsia="Symbol" w:hAnsi="Symbol" w:cs="Symbol"/>
      </w:rPr>
    </w:lvl>
    <w:lvl w:ilvl="7" w:tplc="0B0889BE">
      <w:start w:val="1"/>
      <w:numFmt w:val="bullet"/>
      <w:lvlText w:val="o"/>
      <w:lvlJc w:val="left"/>
      <w:pPr>
        <w:ind w:left="5760" w:hanging="360"/>
      </w:pPr>
      <w:rPr>
        <w:rFonts w:ascii="Courier New" w:eastAsia="Courier New" w:hAnsi="Courier New" w:cs="Courier New"/>
      </w:rPr>
    </w:lvl>
    <w:lvl w:ilvl="8" w:tplc="A7308E88">
      <w:start w:val="1"/>
      <w:numFmt w:val="bullet"/>
      <w:lvlText w:val=""/>
      <w:lvlJc w:val="left"/>
      <w:pPr>
        <w:ind w:left="6480" w:hanging="360"/>
      </w:pPr>
      <w:rPr>
        <w:rFonts w:ascii="Wingdings" w:eastAsia="Wingdings" w:hAnsi="Wingdings" w:cs="Wingdings"/>
      </w:rPr>
    </w:lvl>
  </w:abstractNum>
  <w:abstractNum w:abstractNumId="17" w15:restartNumberingAfterBreak="0">
    <w:nsid w:val="635629F5"/>
    <w:multiLevelType w:val="multilevel"/>
    <w:tmpl w:val="9BB4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433CAD"/>
    <w:multiLevelType w:val="multilevel"/>
    <w:tmpl w:val="FE8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96BB5"/>
    <w:multiLevelType w:val="multilevel"/>
    <w:tmpl w:val="83106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E592E"/>
    <w:multiLevelType w:val="hybridMultilevel"/>
    <w:tmpl w:val="0BF408FE"/>
    <w:lvl w:ilvl="0" w:tplc="6A98CD38">
      <w:start w:val="1"/>
      <w:numFmt w:val="bullet"/>
      <w:lvlText w:val=""/>
      <w:lvlJc w:val="left"/>
      <w:pPr>
        <w:ind w:left="720" w:hanging="360"/>
      </w:pPr>
      <w:rPr>
        <w:rFonts w:ascii="Symbol" w:eastAsia="Symbol" w:hAnsi="Symbol" w:cs="Symbol"/>
      </w:rPr>
    </w:lvl>
    <w:lvl w:ilvl="1" w:tplc="6ACA2D54">
      <w:start w:val="1"/>
      <w:numFmt w:val="bullet"/>
      <w:lvlText w:val="o"/>
      <w:lvlJc w:val="left"/>
      <w:pPr>
        <w:ind w:left="1440" w:hanging="360"/>
      </w:pPr>
      <w:rPr>
        <w:rFonts w:ascii="Courier New" w:eastAsia="Courier New" w:hAnsi="Courier New" w:cs="Courier New"/>
      </w:rPr>
    </w:lvl>
    <w:lvl w:ilvl="2" w:tplc="6B5878C6">
      <w:start w:val="1"/>
      <w:numFmt w:val="bullet"/>
      <w:lvlText w:val=""/>
      <w:lvlJc w:val="left"/>
      <w:pPr>
        <w:ind w:left="2160" w:hanging="360"/>
      </w:pPr>
      <w:rPr>
        <w:rFonts w:ascii="Wingdings" w:eastAsia="Wingdings" w:hAnsi="Wingdings" w:cs="Wingdings"/>
      </w:rPr>
    </w:lvl>
    <w:lvl w:ilvl="3" w:tplc="AF14212A">
      <w:start w:val="1"/>
      <w:numFmt w:val="bullet"/>
      <w:lvlText w:val=""/>
      <w:lvlJc w:val="left"/>
      <w:pPr>
        <w:ind w:left="2880" w:hanging="360"/>
      </w:pPr>
      <w:rPr>
        <w:rFonts w:ascii="Symbol" w:eastAsia="Symbol" w:hAnsi="Symbol" w:cs="Symbol"/>
      </w:rPr>
    </w:lvl>
    <w:lvl w:ilvl="4" w:tplc="ACEEAB60">
      <w:start w:val="1"/>
      <w:numFmt w:val="bullet"/>
      <w:lvlText w:val="o"/>
      <w:lvlJc w:val="left"/>
      <w:pPr>
        <w:ind w:left="3600" w:hanging="360"/>
      </w:pPr>
      <w:rPr>
        <w:rFonts w:ascii="Courier New" w:eastAsia="Courier New" w:hAnsi="Courier New" w:cs="Courier New"/>
      </w:rPr>
    </w:lvl>
    <w:lvl w:ilvl="5" w:tplc="25D22CE6">
      <w:start w:val="1"/>
      <w:numFmt w:val="bullet"/>
      <w:lvlText w:val=""/>
      <w:lvlJc w:val="left"/>
      <w:pPr>
        <w:ind w:left="4320" w:hanging="360"/>
      </w:pPr>
      <w:rPr>
        <w:rFonts w:ascii="Wingdings" w:eastAsia="Wingdings" w:hAnsi="Wingdings" w:cs="Wingdings"/>
      </w:rPr>
    </w:lvl>
    <w:lvl w:ilvl="6" w:tplc="E828F64A">
      <w:start w:val="1"/>
      <w:numFmt w:val="bullet"/>
      <w:lvlText w:val=""/>
      <w:lvlJc w:val="left"/>
      <w:pPr>
        <w:ind w:left="5040" w:hanging="360"/>
      </w:pPr>
      <w:rPr>
        <w:rFonts w:ascii="Symbol" w:eastAsia="Symbol" w:hAnsi="Symbol" w:cs="Symbol"/>
      </w:rPr>
    </w:lvl>
    <w:lvl w:ilvl="7" w:tplc="2A9AD276">
      <w:start w:val="1"/>
      <w:numFmt w:val="bullet"/>
      <w:lvlText w:val="o"/>
      <w:lvlJc w:val="left"/>
      <w:pPr>
        <w:ind w:left="5760" w:hanging="360"/>
      </w:pPr>
      <w:rPr>
        <w:rFonts w:ascii="Courier New" w:eastAsia="Courier New" w:hAnsi="Courier New" w:cs="Courier New"/>
      </w:rPr>
    </w:lvl>
    <w:lvl w:ilvl="8" w:tplc="9A08990A">
      <w:start w:val="1"/>
      <w:numFmt w:val="bullet"/>
      <w:lvlText w:val=""/>
      <w:lvlJc w:val="left"/>
      <w:pPr>
        <w:ind w:left="6480" w:hanging="360"/>
      </w:pPr>
      <w:rPr>
        <w:rFonts w:ascii="Wingdings" w:eastAsia="Wingdings" w:hAnsi="Wingdings" w:cs="Wingdings"/>
      </w:rPr>
    </w:lvl>
  </w:abstractNum>
  <w:abstractNum w:abstractNumId="21" w15:restartNumberingAfterBreak="0">
    <w:nsid w:val="77C34A67"/>
    <w:multiLevelType w:val="multilevel"/>
    <w:tmpl w:val="1A9E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3640">
    <w:abstractNumId w:val="13"/>
  </w:num>
  <w:num w:numId="2" w16cid:durableId="34277309">
    <w:abstractNumId w:val="21"/>
  </w:num>
  <w:num w:numId="3" w16cid:durableId="32780022">
    <w:abstractNumId w:val="4"/>
  </w:num>
  <w:num w:numId="4" w16cid:durableId="546262759">
    <w:abstractNumId w:val="14"/>
  </w:num>
  <w:num w:numId="5" w16cid:durableId="631520567">
    <w:abstractNumId w:val="17"/>
  </w:num>
  <w:num w:numId="6" w16cid:durableId="1788235012">
    <w:abstractNumId w:val="9"/>
  </w:num>
  <w:num w:numId="7" w16cid:durableId="1127046534">
    <w:abstractNumId w:val="15"/>
  </w:num>
  <w:num w:numId="8" w16cid:durableId="1707561958">
    <w:abstractNumId w:val="5"/>
  </w:num>
  <w:num w:numId="9" w16cid:durableId="1072773524">
    <w:abstractNumId w:val="19"/>
  </w:num>
  <w:num w:numId="10" w16cid:durableId="1841970687">
    <w:abstractNumId w:val="3"/>
  </w:num>
  <w:num w:numId="11" w16cid:durableId="976372508">
    <w:abstractNumId w:val="6"/>
  </w:num>
  <w:num w:numId="12" w16cid:durableId="1103040714">
    <w:abstractNumId w:val="10"/>
  </w:num>
  <w:num w:numId="13" w16cid:durableId="1018657058">
    <w:abstractNumId w:val="1"/>
  </w:num>
  <w:num w:numId="14" w16cid:durableId="1230653170">
    <w:abstractNumId w:val="11"/>
  </w:num>
  <w:num w:numId="15" w16cid:durableId="539440065">
    <w:abstractNumId w:val="7"/>
  </w:num>
  <w:num w:numId="16" w16cid:durableId="1481188306">
    <w:abstractNumId w:val="8"/>
  </w:num>
  <w:num w:numId="17" w16cid:durableId="75980023">
    <w:abstractNumId w:val="18"/>
  </w:num>
  <w:num w:numId="18" w16cid:durableId="1401126817">
    <w:abstractNumId w:val="2"/>
  </w:num>
  <w:num w:numId="19" w16cid:durableId="1414008453">
    <w:abstractNumId w:val="12"/>
  </w:num>
  <w:num w:numId="20" w16cid:durableId="419912149">
    <w:abstractNumId w:val="0"/>
  </w:num>
  <w:num w:numId="21" w16cid:durableId="1374764598">
    <w:abstractNumId w:val="20"/>
  </w:num>
  <w:num w:numId="22" w16cid:durableId="1268196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43"/>
    <w:rsid w:val="00004226"/>
    <w:rsid w:val="00013130"/>
    <w:rsid w:val="00030489"/>
    <w:rsid w:val="00062978"/>
    <w:rsid w:val="00063F71"/>
    <w:rsid w:val="0006654A"/>
    <w:rsid w:val="00075A51"/>
    <w:rsid w:val="00083657"/>
    <w:rsid w:val="000944B8"/>
    <w:rsid w:val="000960B6"/>
    <w:rsid w:val="000E4DCD"/>
    <w:rsid w:val="00105607"/>
    <w:rsid w:val="001111BC"/>
    <w:rsid w:val="00112C34"/>
    <w:rsid w:val="00122FE6"/>
    <w:rsid w:val="00150105"/>
    <w:rsid w:val="001708DB"/>
    <w:rsid w:val="001816C5"/>
    <w:rsid w:val="001A1443"/>
    <w:rsid w:val="001C79CF"/>
    <w:rsid w:val="001E46D9"/>
    <w:rsid w:val="001E4ABE"/>
    <w:rsid w:val="001F5E48"/>
    <w:rsid w:val="002055C7"/>
    <w:rsid w:val="00212B9A"/>
    <w:rsid w:val="0021519D"/>
    <w:rsid w:val="00215D70"/>
    <w:rsid w:val="00226F84"/>
    <w:rsid w:val="00232F2C"/>
    <w:rsid w:val="0023528C"/>
    <w:rsid w:val="00240683"/>
    <w:rsid w:val="0024222A"/>
    <w:rsid w:val="0024563D"/>
    <w:rsid w:val="00251540"/>
    <w:rsid w:val="0025584C"/>
    <w:rsid w:val="0026451C"/>
    <w:rsid w:val="00264D98"/>
    <w:rsid w:val="00282268"/>
    <w:rsid w:val="002826F4"/>
    <w:rsid w:val="002A4874"/>
    <w:rsid w:val="002B2FF8"/>
    <w:rsid w:val="002B6900"/>
    <w:rsid w:val="002E38BE"/>
    <w:rsid w:val="002F4C64"/>
    <w:rsid w:val="002F7FCC"/>
    <w:rsid w:val="00301B4B"/>
    <w:rsid w:val="00301FE9"/>
    <w:rsid w:val="003224C8"/>
    <w:rsid w:val="00327795"/>
    <w:rsid w:val="00332986"/>
    <w:rsid w:val="00352716"/>
    <w:rsid w:val="00354B67"/>
    <w:rsid w:val="00357F9D"/>
    <w:rsid w:val="00364CDD"/>
    <w:rsid w:val="00367915"/>
    <w:rsid w:val="00370FDD"/>
    <w:rsid w:val="00373BCA"/>
    <w:rsid w:val="00375FDB"/>
    <w:rsid w:val="00387EB8"/>
    <w:rsid w:val="003A0443"/>
    <w:rsid w:val="003A12CA"/>
    <w:rsid w:val="003A224D"/>
    <w:rsid w:val="003A638F"/>
    <w:rsid w:val="003A6E8A"/>
    <w:rsid w:val="003A706F"/>
    <w:rsid w:val="003B12F4"/>
    <w:rsid w:val="003C35D9"/>
    <w:rsid w:val="003E391B"/>
    <w:rsid w:val="003F190F"/>
    <w:rsid w:val="00405140"/>
    <w:rsid w:val="00405D4C"/>
    <w:rsid w:val="0041273B"/>
    <w:rsid w:val="004155ED"/>
    <w:rsid w:val="00421D64"/>
    <w:rsid w:val="00422618"/>
    <w:rsid w:val="00433737"/>
    <w:rsid w:val="00436877"/>
    <w:rsid w:val="00446E0A"/>
    <w:rsid w:val="0046361B"/>
    <w:rsid w:val="004642B5"/>
    <w:rsid w:val="004661F4"/>
    <w:rsid w:val="004848D4"/>
    <w:rsid w:val="00484FED"/>
    <w:rsid w:val="00490C96"/>
    <w:rsid w:val="004A1294"/>
    <w:rsid w:val="004C208E"/>
    <w:rsid w:val="004C246B"/>
    <w:rsid w:val="0051655B"/>
    <w:rsid w:val="00524FB0"/>
    <w:rsid w:val="00533572"/>
    <w:rsid w:val="00546137"/>
    <w:rsid w:val="005468DE"/>
    <w:rsid w:val="005500C2"/>
    <w:rsid w:val="005553AB"/>
    <w:rsid w:val="00564191"/>
    <w:rsid w:val="00565B2D"/>
    <w:rsid w:val="005804B7"/>
    <w:rsid w:val="00587851"/>
    <w:rsid w:val="005A3A70"/>
    <w:rsid w:val="005B0198"/>
    <w:rsid w:val="005B4B96"/>
    <w:rsid w:val="005B53EF"/>
    <w:rsid w:val="005B7342"/>
    <w:rsid w:val="005C32AB"/>
    <w:rsid w:val="005D13CE"/>
    <w:rsid w:val="005D6657"/>
    <w:rsid w:val="005F7B5B"/>
    <w:rsid w:val="00607149"/>
    <w:rsid w:val="00632A65"/>
    <w:rsid w:val="0064404B"/>
    <w:rsid w:val="006450F9"/>
    <w:rsid w:val="00647BBB"/>
    <w:rsid w:val="00654A2B"/>
    <w:rsid w:val="00676212"/>
    <w:rsid w:val="006A1243"/>
    <w:rsid w:val="006A13C9"/>
    <w:rsid w:val="006A278D"/>
    <w:rsid w:val="006A5CAE"/>
    <w:rsid w:val="006B10A4"/>
    <w:rsid w:val="006B2590"/>
    <w:rsid w:val="006D1D65"/>
    <w:rsid w:val="006D3BF3"/>
    <w:rsid w:val="006E613B"/>
    <w:rsid w:val="006E74E3"/>
    <w:rsid w:val="00712264"/>
    <w:rsid w:val="00723FE7"/>
    <w:rsid w:val="007444ED"/>
    <w:rsid w:val="00754273"/>
    <w:rsid w:val="007549C2"/>
    <w:rsid w:val="00762D5B"/>
    <w:rsid w:val="0076747E"/>
    <w:rsid w:val="007816BE"/>
    <w:rsid w:val="007907E1"/>
    <w:rsid w:val="007A14C5"/>
    <w:rsid w:val="007A6F38"/>
    <w:rsid w:val="007B25F6"/>
    <w:rsid w:val="007B3FE9"/>
    <w:rsid w:val="007B534A"/>
    <w:rsid w:val="007B6578"/>
    <w:rsid w:val="007C31DF"/>
    <w:rsid w:val="007D02CD"/>
    <w:rsid w:val="007D2C15"/>
    <w:rsid w:val="007D5FE3"/>
    <w:rsid w:val="007F613F"/>
    <w:rsid w:val="00801453"/>
    <w:rsid w:val="00830F2D"/>
    <w:rsid w:val="008323A0"/>
    <w:rsid w:val="008346AB"/>
    <w:rsid w:val="008472F3"/>
    <w:rsid w:val="008619F2"/>
    <w:rsid w:val="00862D00"/>
    <w:rsid w:val="0086396C"/>
    <w:rsid w:val="0086528A"/>
    <w:rsid w:val="0086546A"/>
    <w:rsid w:val="00884CF6"/>
    <w:rsid w:val="0088731A"/>
    <w:rsid w:val="00887BFD"/>
    <w:rsid w:val="00890F63"/>
    <w:rsid w:val="008954AE"/>
    <w:rsid w:val="00895F00"/>
    <w:rsid w:val="00896171"/>
    <w:rsid w:val="008B2462"/>
    <w:rsid w:val="008B5658"/>
    <w:rsid w:val="008C4D0D"/>
    <w:rsid w:val="008C7DC8"/>
    <w:rsid w:val="008D31F6"/>
    <w:rsid w:val="008E059C"/>
    <w:rsid w:val="008E79D8"/>
    <w:rsid w:val="00903988"/>
    <w:rsid w:val="009162BC"/>
    <w:rsid w:val="00917894"/>
    <w:rsid w:val="009210A3"/>
    <w:rsid w:val="0093546B"/>
    <w:rsid w:val="00940498"/>
    <w:rsid w:val="0094446F"/>
    <w:rsid w:val="00947645"/>
    <w:rsid w:val="00960B92"/>
    <w:rsid w:val="0096568B"/>
    <w:rsid w:val="00967A7E"/>
    <w:rsid w:val="00981EFE"/>
    <w:rsid w:val="00991F8A"/>
    <w:rsid w:val="009A24DA"/>
    <w:rsid w:val="009A379C"/>
    <w:rsid w:val="009C0E97"/>
    <w:rsid w:val="009D1B41"/>
    <w:rsid w:val="009D6912"/>
    <w:rsid w:val="009F6DB3"/>
    <w:rsid w:val="00A03F08"/>
    <w:rsid w:val="00A0614E"/>
    <w:rsid w:val="00A15F68"/>
    <w:rsid w:val="00A20648"/>
    <w:rsid w:val="00A33398"/>
    <w:rsid w:val="00A406F4"/>
    <w:rsid w:val="00A459FA"/>
    <w:rsid w:val="00A4754E"/>
    <w:rsid w:val="00A65B44"/>
    <w:rsid w:val="00A7251F"/>
    <w:rsid w:val="00A75923"/>
    <w:rsid w:val="00A8462E"/>
    <w:rsid w:val="00A858C5"/>
    <w:rsid w:val="00AA3163"/>
    <w:rsid w:val="00AB0AF0"/>
    <w:rsid w:val="00AB36C7"/>
    <w:rsid w:val="00AC4F6D"/>
    <w:rsid w:val="00AD0425"/>
    <w:rsid w:val="00AD5B5F"/>
    <w:rsid w:val="00AD720A"/>
    <w:rsid w:val="00AE029A"/>
    <w:rsid w:val="00B01354"/>
    <w:rsid w:val="00B10E47"/>
    <w:rsid w:val="00B15709"/>
    <w:rsid w:val="00B16B1A"/>
    <w:rsid w:val="00B3090D"/>
    <w:rsid w:val="00B31DB3"/>
    <w:rsid w:val="00B509EB"/>
    <w:rsid w:val="00B752CA"/>
    <w:rsid w:val="00B825E5"/>
    <w:rsid w:val="00B9051A"/>
    <w:rsid w:val="00B90D82"/>
    <w:rsid w:val="00BB2269"/>
    <w:rsid w:val="00BB2F8E"/>
    <w:rsid w:val="00BB4506"/>
    <w:rsid w:val="00BB7BE7"/>
    <w:rsid w:val="00BC0025"/>
    <w:rsid w:val="00BC4069"/>
    <w:rsid w:val="00BC4B77"/>
    <w:rsid w:val="00BC7878"/>
    <w:rsid w:val="00BD5D37"/>
    <w:rsid w:val="00BE179A"/>
    <w:rsid w:val="00BE3FC8"/>
    <w:rsid w:val="00C05858"/>
    <w:rsid w:val="00C06EFA"/>
    <w:rsid w:val="00C07EBF"/>
    <w:rsid w:val="00C14805"/>
    <w:rsid w:val="00C22FEF"/>
    <w:rsid w:val="00C23300"/>
    <w:rsid w:val="00C275FA"/>
    <w:rsid w:val="00C34F17"/>
    <w:rsid w:val="00C36201"/>
    <w:rsid w:val="00C41C30"/>
    <w:rsid w:val="00C42F0F"/>
    <w:rsid w:val="00C472FB"/>
    <w:rsid w:val="00C55EDA"/>
    <w:rsid w:val="00C63339"/>
    <w:rsid w:val="00C65199"/>
    <w:rsid w:val="00C67531"/>
    <w:rsid w:val="00C81945"/>
    <w:rsid w:val="00C82430"/>
    <w:rsid w:val="00C90485"/>
    <w:rsid w:val="00C91CEB"/>
    <w:rsid w:val="00C97075"/>
    <w:rsid w:val="00CA33C0"/>
    <w:rsid w:val="00CA511B"/>
    <w:rsid w:val="00CA5DEE"/>
    <w:rsid w:val="00CA7878"/>
    <w:rsid w:val="00CB010D"/>
    <w:rsid w:val="00CC4FF8"/>
    <w:rsid w:val="00CD506B"/>
    <w:rsid w:val="00D03970"/>
    <w:rsid w:val="00D0424D"/>
    <w:rsid w:val="00D13259"/>
    <w:rsid w:val="00D3303E"/>
    <w:rsid w:val="00D46ED1"/>
    <w:rsid w:val="00D564BA"/>
    <w:rsid w:val="00D61C10"/>
    <w:rsid w:val="00D63157"/>
    <w:rsid w:val="00DB7C26"/>
    <w:rsid w:val="00DC2487"/>
    <w:rsid w:val="00DC4D70"/>
    <w:rsid w:val="00DD15F9"/>
    <w:rsid w:val="00E0100B"/>
    <w:rsid w:val="00E10AAA"/>
    <w:rsid w:val="00E17EE0"/>
    <w:rsid w:val="00E20077"/>
    <w:rsid w:val="00E4421E"/>
    <w:rsid w:val="00E50511"/>
    <w:rsid w:val="00E5167B"/>
    <w:rsid w:val="00E60B03"/>
    <w:rsid w:val="00E734F5"/>
    <w:rsid w:val="00E7652E"/>
    <w:rsid w:val="00E80F67"/>
    <w:rsid w:val="00E86155"/>
    <w:rsid w:val="00E92595"/>
    <w:rsid w:val="00E97CD9"/>
    <w:rsid w:val="00EB2BD5"/>
    <w:rsid w:val="00ED3A65"/>
    <w:rsid w:val="00ED6253"/>
    <w:rsid w:val="00EE656A"/>
    <w:rsid w:val="00EF4C33"/>
    <w:rsid w:val="00F07627"/>
    <w:rsid w:val="00F11715"/>
    <w:rsid w:val="00F1798C"/>
    <w:rsid w:val="00F3365A"/>
    <w:rsid w:val="00F41BAE"/>
    <w:rsid w:val="00F52B1A"/>
    <w:rsid w:val="00F57D3D"/>
    <w:rsid w:val="00F85C92"/>
    <w:rsid w:val="00F947C6"/>
    <w:rsid w:val="00FA6853"/>
    <w:rsid w:val="00FD0449"/>
    <w:rsid w:val="00FD7BE0"/>
    <w:rsid w:val="00FE1AEE"/>
    <w:rsid w:val="00FF37D8"/>
    <w:rsid w:val="00FF4130"/>
    <w:rsid w:val="00FF6B72"/>
    <w:rsid w:val="01FCA855"/>
    <w:rsid w:val="0442F0CE"/>
    <w:rsid w:val="080BB768"/>
    <w:rsid w:val="0ACE0C5D"/>
    <w:rsid w:val="0D2E524C"/>
    <w:rsid w:val="0EEF0D2A"/>
    <w:rsid w:val="13BFED9A"/>
    <w:rsid w:val="142FF1CA"/>
    <w:rsid w:val="14FCED3F"/>
    <w:rsid w:val="173AD002"/>
    <w:rsid w:val="178312C0"/>
    <w:rsid w:val="17C3BE2C"/>
    <w:rsid w:val="1B30F96C"/>
    <w:rsid w:val="1E400C52"/>
    <w:rsid w:val="1FDB5506"/>
    <w:rsid w:val="205A1B3B"/>
    <w:rsid w:val="21E07853"/>
    <w:rsid w:val="2587037A"/>
    <w:rsid w:val="2694057F"/>
    <w:rsid w:val="279DE12A"/>
    <w:rsid w:val="2C737F4C"/>
    <w:rsid w:val="2CFD65CD"/>
    <w:rsid w:val="34D4E887"/>
    <w:rsid w:val="36015671"/>
    <w:rsid w:val="3BA70753"/>
    <w:rsid w:val="418BBB4C"/>
    <w:rsid w:val="466A56DC"/>
    <w:rsid w:val="4B09DE13"/>
    <w:rsid w:val="4B61B85D"/>
    <w:rsid w:val="51C9C074"/>
    <w:rsid w:val="54F3DC93"/>
    <w:rsid w:val="5B4D8A19"/>
    <w:rsid w:val="5CEFD6FE"/>
    <w:rsid w:val="5D6E91AB"/>
    <w:rsid w:val="60588710"/>
    <w:rsid w:val="65EB467A"/>
    <w:rsid w:val="6795FB40"/>
    <w:rsid w:val="724BBF6F"/>
    <w:rsid w:val="7AB828FC"/>
    <w:rsid w:val="7C3FC6A7"/>
    <w:rsid w:val="7E3BB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19A1D2"/>
  <w15:chartTrackingRefBased/>
  <w15:docId w15:val="{F6C3086D-3347-42E5-98F1-76417545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1C10"/>
    <w:pPr>
      <w:keepNext/>
      <w:keepLines/>
      <w:spacing w:before="160" w:after="80" w:line="279" w:lineRule="auto"/>
      <w:outlineLvl w:val="1"/>
    </w:pPr>
    <w:rPr>
      <w:rFonts w:asciiTheme="majorHAnsi" w:eastAsiaTheme="majorEastAsia" w:hAnsiTheme="majorHAnsi" w:cstheme="majorBidi"/>
      <w:color w:val="0F4761"/>
      <w:kern w:val="0"/>
      <w:sz w:val="32"/>
      <w:szCs w:val="32"/>
      <w:lang w:eastAsia="ja-JP"/>
      <w14:ligatures w14:val="none"/>
    </w:rPr>
  </w:style>
  <w:style w:type="paragraph" w:styleId="Heading3">
    <w:name w:val="heading 3"/>
    <w:basedOn w:val="Normal"/>
    <w:next w:val="Normal"/>
    <w:link w:val="Heading3Char"/>
    <w:uiPriority w:val="9"/>
    <w:unhideWhenUsed/>
    <w:qFormat/>
    <w:rsid w:val="00D61C10"/>
    <w:pPr>
      <w:keepNext/>
      <w:keepLines/>
      <w:spacing w:before="160" w:after="80" w:line="279" w:lineRule="auto"/>
      <w:outlineLvl w:val="2"/>
    </w:pPr>
    <w:rPr>
      <w:rFonts w:eastAsiaTheme="majorEastAsia" w:cstheme="majorBidi"/>
      <w:color w:val="0F4761"/>
      <w:kern w:val="0"/>
      <w:sz w:val="28"/>
      <w:szCs w:val="2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43"/>
  </w:style>
  <w:style w:type="paragraph" w:styleId="Footer">
    <w:name w:val="footer"/>
    <w:basedOn w:val="Normal"/>
    <w:link w:val="FooterChar"/>
    <w:uiPriority w:val="99"/>
    <w:unhideWhenUsed/>
    <w:rsid w:val="003A0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43"/>
  </w:style>
  <w:style w:type="paragraph" w:styleId="NormalWeb">
    <w:name w:val="Normal (Web)"/>
    <w:basedOn w:val="Normal"/>
    <w:uiPriority w:val="99"/>
    <w:semiHidden/>
    <w:unhideWhenUsed/>
    <w:rsid w:val="00AB0A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lCaps">
    <w:name w:val="AllCaps"/>
    <w:uiPriority w:val="5"/>
    <w:qFormat/>
    <w:rsid w:val="008C4D0D"/>
    <w:rPr>
      <w:caps/>
      <w:smallCaps w:val="0"/>
    </w:rPr>
  </w:style>
  <w:style w:type="table" w:customStyle="1" w:styleId="AlternateShadedRows">
    <w:name w:val="AlternateShadedRows"/>
    <w:aliases w:val="asr"/>
    <w:basedOn w:val="ListTable2-Accent3"/>
    <w:uiPriority w:val="99"/>
    <w:rsid w:val="008C4D0D"/>
    <w:rPr>
      <w:kern w:val="0"/>
      <w:sz w:val="20"/>
      <w:szCs w:val="20"/>
      <w:lang w:eastAsia="ja-JP"/>
      <w14:ligatures w14:val="none"/>
    </w:rPr>
    <w:tblPr>
      <w:tblBorders>
        <w:top w:val="single" w:sz="4" w:space="0" w:color="auto"/>
        <w:bottom w:val="single" w:sz="4" w:space="0" w:color="auto"/>
        <w:insideH w:val="none" w:sz="0" w:space="0" w:color="auto"/>
      </w:tblBorders>
    </w:tblPr>
    <w:tblStylePr w:type="firstRow">
      <w:rPr>
        <w:b/>
        <w:bCs/>
        <w:caps/>
        <w:smallCaps w:val="0"/>
      </w:rPr>
      <w:tblPr/>
      <w:tcPr>
        <w:tcBorders>
          <w:bottom w:val="single" w:sz="4" w:space="0" w:color="auto"/>
        </w:tcBorders>
      </w:tcPr>
    </w:tblStylePr>
    <w:tblStylePr w:type="lastRow">
      <w:rPr>
        <w:b w:val="0"/>
        <w:bCs/>
      </w:rPr>
    </w:tblStylePr>
    <w:tblStylePr w:type="firstCol">
      <w:rPr>
        <w:b w:val="0"/>
        <w:bCs/>
      </w:rPr>
    </w:tblStylePr>
    <w:tblStylePr w:type="lastCol">
      <w:rPr>
        <w:b w:val="0"/>
        <w:bCs/>
      </w:rPr>
    </w:tblStylePr>
    <w:tblStylePr w:type="band1Vert">
      <w:tblPr/>
      <w:tcPr>
        <w:shd w:val="clear" w:color="auto" w:fill="F5E7D8" w:themeFill="accent3" w:themeFillTint="33"/>
      </w:tcPr>
    </w:tblStylePr>
    <w:tblStylePr w:type="band1Horz">
      <w:tblPr/>
      <w:tcPr>
        <w:shd w:val="clear" w:color="auto" w:fill="BFBFBF" w:themeFill="background1" w:themeFillShade="BF"/>
      </w:tcPr>
    </w:tblStylePr>
  </w:style>
  <w:style w:type="table" w:styleId="ListTable2-Accent3">
    <w:name w:val="List Table 2 Accent 3"/>
    <w:basedOn w:val="TableNormal"/>
    <w:uiPriority w:val="47"/>
    <w:rsid w:val="008C4D0D"/>
    <w:pPr>
      <w:spacing w:after="0" w:line="240" w:lineRule="auto"/>
    </w:pPr>
    <w:tblPr>
      <w:tblStyleRowBandSize w:val="1"/>
      <w:tblStyleColBandSize w:val="1"/>
      <w:tblBorders>
        <w:top w:val="single" w:sz="4" w:space="0" w:color="E1BA8B" w:themeColor="accent3" w:themeTint="99"/>
        <w:bottom w:val="single" w:sz="4" w:space="0" w:color="E1BA8B" w:themeColor="accent3" w:themeTint="99"/>
        <w:insideH w:val="single" w:sz="4" w:space="0" w:color="E1BA8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character" w:styleId="Hyperlink">
    <w:name w:val="Hyperlink"/>
    <w:basedOn w:val="DefaultParagraphFont"/>
    <w:uiPriority w:val="99"/>
    <w:unhideWhenUsed/>
    <w:rsid w:val="00BB4506"/>
    <w:rPr>
      <w:color w:val="2998E3" w:themeColor="hyperlink"/>
      <w:u w:val="single"/>
    </w:rPr>
  </w:style>
  <w:style w:type="character" w:styleId="UnresolvedMention">
    <w:name w:val="Unresolved Mention"/>
    <w:basedOn w:val="DefaultParagraphFont"/>
    <w:uiPriority w:val="99"/>
    <w:semiHidden/>
    <w:unhideWhenUsed/>
    <w:rsid w:val="00BB4506"/>
    <w:rPr>
      <w:color w:val="605E5C"/>
      <w:shd w:val="clear" w:color="auto" w:fill="E1DFDD"/>
    </w:rPr>
  </w:style>
  <w:style w:type="paragraph" w:customStyle="1" w:styleId="Default">
    <w:name w:val="Default"/>
    <w:rsid w:val="00565B2D"/>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533572"/>
    <w:rPr>
      <w:sz w:val="16"/>
      <w:szCs w:val="16"/>
    </w:rPr>
  </w:style>
  <w:style w:type="paragraph" w:styleId="CommentText">
    <w:name w:val="annotation text"/>
    <w:basedOn w:val="Normal"/>
    <w:link w:val="CommentTextChar"/>
    <w:uiPriority w:val="99"/>
    <w:unhideWhenUsed/>
    <w:rsid w:val="00533572"/>
    <w:pPr>
      <w:spacing w:line="240" w:lineRule="auto"/>
    </w:pPr>
    <w:rPr>
      <w:sz w:val="20"/>
      <w:szCs w:val="20"/>
    </w:rPr>
  </w:style>
  <w:style w:type="character" w:customStyle="1" w:styleId="CommentTextChar">
    <w:name w:val="Comment Text Char"/>
    <w:basedOn w:val="DefaultParagraphFont"/>
    <w:link w:val="CommentText"/>
    <w:uiPriority w:val="99"/>
    <w:rsid w:val="00533572"/>
    <w:rPr>
      <w:sz w:val="20"/>
      <w:szCs w:val="20"/>
    </w:rPr>
  </w:style>
  <w:style w:type="paragraph" w:styleId="CommentSubject">
    <w:name w:val="annotation subject"/>
    <w:basedOn w:val="CommentText"/>
    <w:next w:val="CommentText"/>
    <w:link w:val="CommentSubjectChar"/>
    <w:uiPriority w:val="99"/>
    <w:semiHidden/>
    <w:unhideWhenUsed/>
    <w:rsid w:val="00533572"/>
    <w:rPr>
      <w:b/>
      <w:bCs/>
    </w:rPr>
  </w:style>
  <w:style w:type="character" w:customStyle="1" w:styleId="CommentSubjectChar">
    <w:name w:val="Comment Subject Char"/>
    <w:basedOn w:val="CommentTextChar"/>
    <w:link w:val="CommentSubject"/>
    <w:uiPriority w:val="99"/>
    <w:semiHidden/>
    <w:rsid w:val="00533572"/>
    <w:rPr>
      <w:b/>
      <w:bCs/>
      <w:sz w:val="20"/>
      <w:szCs w:val="20"/>
    </w:rPr>
  </w:style>
  <w:style w:type="paragraph" w:styleId="ListParagraph">
    <w:name w:val="List Paragraph"/>
    <w:basedOn w:val="Normal"/>
    <w:uiPriority w:val="34"/>
    <w:qFormat/>
    <w:rsid w:val="00DB7C26"/>
    <w:pPr>
      <w:ind w:left="720"/>
      <w:contextualSpacing/>
    </w:pPr>
  </w:style>
  <w:style w:type="character" w:styleId="FollowedHyperlink">
    <w:name w:val="FollowedHyperlink"/>
    <w:basedOn w:val="DefaultParagraphFont"/>
    <w:uiPriority w:val="99"/>
    <w:semiHidden/>
    <w:unhideWhenUsed/>
    <w:rsid w:val="00E734F5"/>
    <w:rPr>
      <w:color w:val="7F723D" w:themeColor="followedHyperlink"/>
      <w:u w:val="single"/>
    </w:rPr>
  </w:style>
  <w:style w:type="character" w:customStyle="1" w:styleId="Heading2Char">
    <w:name w:val="Heading 2 Char"/>
    <w:basedOn w:val="DefaultParagraphFont"/>
    <w:link w:val="Heading2"/>
    <w:uiPriority w:val="9"/>
    <w:rsid w:val="00D61C10"/>
    <w:rPr>
      <w:rFonts w:asciiTheme="majorHAnsi" w:eastAsiaTheme="majorEastAsia" w:hAnsiTheme="majorHAnsi" w:cstheme="majorBidi"/>
      <w:color w:val="0F4761"/>
      <w:kern w:val="0"/>
      <w:sz w:val="32"/>
      <w:szCs w:val="32"/>
      <w:lang w:eastAsia="ja-JP"/>
      <w14:ligatures w14:val="none"/>
    </w:rPr>
  </w:style>
  <w:style w:type="character" w:customStyle="1" w:styleId="Heading3Char">
    <w:name w:val="Heading 3 Char"/>
    <w:basedOn w:val="DefaultParagraphFont"/>
    <w:link w:val="Heading3"/>
    <w:uiPriority w:val="9"/>
    <w:rsid w:val="00D61C10"/>
    <w:rPr>
      <w:rFonts w:eastAsiaTheme="majorEastAsia" w:cstheme="majorBidi"/>
      <w:color w:val="0F4761"/>
      <w:kern w:val="0"/>
      <w:sz w:val="28"/>
      <w:szCs w:val="28"/>
      <w:lang w:eastAsia="ja-JP"/>
      <w14:ligatures w14:val="none"/>
    </w:rPr>
  </w:style>
  <w:style w:type="paragraph" w:styleId="Revision">
    <w:name w:val="Revision"/>
    <w:hidden/>
    <w:uiPriority w:val="99"/>
    <w:semiHidden/>
    <w:rsid w:val="00D61C10"/>
    <w:pPr>
      <w:spacing w:after="0" w:line="240" w:lineRule="auto"/>
    </w:pPr>
  </w:style>
  <w:style w:type="table" w:styleId="GridTable4-Accent1">
    <w:name w:val="Grid Table 4 Accent 1"/>
    <w:basedOn w:val="TableNormal"/>
    <w:uiPriority w:val="49"/>
    <w:rsid w:val="00D61C10"/>
    <w:pPr>
      <w:spacing w:after="0" w:line="240" w:lineRule="auto"/>
    </w:pPr>
    <w:rPr>
      <w:rFonts w:eastAsiaTheme="minorEastAsia"/>
      <w:kern w:val="0"/>
      <w:sz w:val="24"/>
      <w:szCs w:val="24"/>
      <w:lang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FFCA08"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96">
      <w:bodyDiv w:val="1"/>
      <w:marLeft w:val="0"/>
      <w:marRight w:val="0"/>
      <w:marTop w:val="0"/>
      <w:marBottom w:val="0"/>
      <w:divBdr>
        <w:top w:val="none" w:sz="0" w:space="0" w:color="auto"/>
        <w:left w:val="none" w:sz="0" w:space="0" w:color="auto"/>
        <w:bottom w:val="none" w:sz="0" w:space="0" w:color="auto"/>
        <w:right w:val="none" w:sz="0" w:space="0" w:color="auto"/>
      </w:divBdr>
    </w:div>
    <w:div w:id="976447203">
      <w:bodyDiv w:val="1"/>
      <w:marLeft w:val="0"/>
      <w:marRight w:val="0"/>
      <w:marTop w:val="0"/>
      <w:marBottom w:val="0"/>
      <w:divBdr>
        <w:top w:val="none" w:sz="0" w:space="0" w:color="auto"/>
        <w:left w:val="none" w:sz="0" w:space="0" w:color="auto"/>
        <w:bottom w:val="none" w:sz="0" w:space="0" w:color="auto"/>
        <w:right w:val="none" w:sz="0" w:space="0" w:color="auto"/>
      </w:divBdr>
    </w:div>
    <w:div w:id="1515075920">
      <w:bodyDiv w:val="1"/>
      <w:marLeft w:val="0"/>
      <w:marRight w:val="0"/>
      <w:marTop w:val="0"/>
      <w:marBottom w:val="0"/>
      <w:divBdr>
        <w:top w:val="none" w:sz="0" w:space="0" w:color="auto"/>
        <w:left w:val="none" w:sz="0" w:space="0" w:color="auto"/>
        <w:bottom w:val="none" w:sz="0" w:space="0" w:color="auto"/>
        <w:right w:val="none" w:sz="0" w:space="0" w:color="auto"/>
      </w:divBdr>
    </w:div>
    <w:div w:id="1530334480">
      <w:bodyDiv w:val="1"/>
      <w:marLeft w:val="0"/>
      <w:marRight w:val="0"/>
      <w:marTop w:val="0"/>
      <w:marBottom w:val="0"/>
      <w:divBdr>
        <w:top w:val="none" w:sz="0" w:space="0" w:color="auto"/>
        <w:left w:val="none" w:sz="0" w:space="0" w:color="auto"/>
        <w:bottom w:val="none" w:sz="0" w:space="0" w:color="auto"/>
        <w:right w:val="none" w:sz="0" w:space="0" w:color="auto"/>
      </w:divBdr>
    </w:div>
    <w:div w:id="1630283076">
      <w:bodyDiv w:val="1"/>
      <w:marLeft w:val="0"/>
      <w:marRight w:val="0"/>
      <w:marTop w:val="0"/>
      <w:marBottom w:val="0"/>
      <w:divBdr>
        <w:top w:val="none" w:sz="0" w:space="0" w:color="auto"/>
        <w:left w:val="none" w:sz="0" w:space="0" w:color="auto"/>
        <w:bottom w:val="none" w:sz="0" w:space="0" w:color="auto"/>
        <w:right w:val="none" w:sz="0" w:space="0" w:color="auto"/>
      </w:divBdr>
    </w:div>
    <w:div w:id="1909269322">
      <w:bodyDiv w:val="1"/>
      <w:marLeft w:val="0"/>
      <w:marRight w:val="0"/>
      <w:marTop w:val="0"/>
      <w:marBottom w:val="0"/>
      <w:divBdr>
        <w:top w:val="none" w:sz="0" w:space="0" w:color="auto"/>
        <w:left w:val="none" w:sz="0" w:space="0" w:color="auto"/>
        <w:bottom w:val="none" w:sz="0" w:space="0" w:color="auto"/>
        <w:right w:val="none" w:sz="0" w:space="0" w:color="auto"/>
      </w:divBdr>
    </w:div>
    <w:div w:id="20096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od.nih.gov/policies/biosafety-and-biosecurity-policy/faqs-on-toxin-experi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lectagents.gov/sat/permissible.htm" TargetMode="External"/><Relationship Id="rId17" Type="http://schemas.openxmlformats.org/officeDocument/2006/relationships/hyperlink" Target="https://stacks.cdc.gov/view/cdc/6979" TargetMode="External"/><Relationship Id="rId2" Type="http://schemas.openxmlformats.org/officeDocument/2006/relationships/customXml" Target="../customXml/item2.xml"/><Relationship Id="rId16" Type="http://schemas.openxmlformats.org/officeDocument/2006/relationships/hyperlink" Target="https://www.researchgate.net/publication/21786196_Ribosome-Inactivating_Proteins_from_Plants_Present_Status_and_Future_Prospe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lectagents.gov/sat/list.htm" TargetMode="External"/><Relationship Id="rId5" Type="http://schemas.openxmlformats.org/officeDocument/2006/relationships/styles" Target="styles.xml"/><Relationship Id="rId15" Type="http://schemas.openxmlformats.org/officeDocument/2006/relationships/hyperlink" Target="https://pubmed.ncbi.nlm.nih.gov/6806598/"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labs/bmbl/index.html"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204ee3-c678-4409-8233-125533b71526" xsi:nil="true"/>
    <lcf76f155ced4ddcb4097134ff3c332f xmlns="f61ce23e-8763-4c9e-84c4-a21122e22b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B32BF98F89DB45AB68663F8F007158" ma:contentTypeVersion="17" ma:contentTypeDescription="Create a new document." ma:contentTypeScope="" ma:versionID="dbb4a6145834a4a8061b58ff24f756fb">
  <xsd:schema xmlns:xsd="http://www.w3.org/2001/XMLSchema" xmlns:xs="http://www.w3.org/2001/XMLSchema" xmlns:p="http://schemas.microsoft.com/office/2006/metadata/properties" xmlns:ns2="f61ce23e-8763-4c9e-84c4-a21122e22b52" xmlns:ns3="45204ee3-c678-4409-8233-125533b71526" targetNamespace="http://schemas.microsoft.com/office/2006/metadata/properties" ma:root="true" ma:fieldsID="acd596197aac75071cb688a4806c4b81" ns2:_="" ns3:_="">
    <xsd:import namespace="f61ce23e-8763-4c9e-84c4-a21122e22b52"/>
    <xsd:import namespace="45204ee3-c678-4409-8233-125533b71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ce23e-8763-4c9e-84c4-a21122e2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04ee3-c678-4409-8233-125533b715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b25aed-d56c-4e77-b51e-abe9b7d420ac}" ma:internalName="TaxCatchAll" ma:showField="CatchAllData" ma:web="45204ee3-c678-4409-8233-125533b71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351A0-5F3C-458A-A9D4-7BCB81B00693}">
  <ds:schemaRefs>
    <ds:schemaRef ds:uri="http://schemas.microsoft.com/sharepoint/v3/contenttype/forms"/>
  </ds:schemaRefs>
</ds:datastoreItem>
</file>

<file path=customXml/itemProps2.xml><?xml version="1.0" encoding="utf-8"?>
<ds:datastoreItem xmlns:ds="http://schemas.openxmlformats.org/officeDocument/2006/customXml" ds:itemID="{85232194-5613-4ACB-BF18-697EE9C344BB}">
  <ds:schemaRefs>
    <ds:schemaRef ds:uri="http://schemas.microsoft.com/office/2006/metadata/properties"/>
    <ds:schemaRef ds:uri="http://schemas.microsoft.com/office/infopath/2007/PartnerControls"/>
    <ds:schemaRef ds:uri="45204ee3-c678-4409-8233-125533b71526"/>
    <ds:schemaRef ds:uri="f61ce23e-8763-4c9e-84c4-a21122e22b52"/>
  </ds:schemaRefs>
</ds:datastoreItem>
</file>

<file path=customXml/itemProps3.xml><?xml version="1.0" encoding="utf-8"?>
<ds:datastoreItem xmlns:ds="http://schemas.openxmlformats.org/officeDocument/2006/customXml" ds:itemID="{4087BC39-3882-4799-84C4-4CB3DF803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ce23e-8763-4c9e-84c4-a21122e22b52"/>
    <ds:schemaRef ds:uri="45204ee3-c678-4409-8233-125533b71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1041</Words>
  <Characters>6478</Characters>
  <Application>Microsoft Office Word</Application>
  <DocSecurity>0</DocSecurity>
  <Lines>185</Lines>
  <Paragraphs>108</Paragraphs>
  <ScaleCrop>false</ScaleCrop>
  <Company/>
  <LinksUpToDate>false</LinksUpToDate>
  <CharactersWithSpaces>7411</CharactersWithSpaces>
  <SharedDoc>false</SharedDoc>
  <HLinks>
    <vt:vector size="42" baseType="variant">
      <vt:variant>
        <vt:i4>1245186</vt:i4>
      </vt:variant>
      <vt:variant>
        <vt:i4>18</vt:i4>
      </vt:variant>
      <vt:variant>
        <vt:i4>0</vt:i4>
      </vt:variant>
      <vt:variant>
        <vt:i4>5</vt:i4>
      </vt:variant>
      <vt:variant>
        <vt:lpwstr>https://stacks.cdc.gov/view/cdc/6979</vt:lpwstr>
      </vt:variant>
      <vt:variant>
        <vt:lpwstr/>
      </vt:variant>
      <vt:variant>
        <vt:i4>7012443</vt:i4>
      </vt:variant>
      <vt:variant>
        <vt:i4>15</vt:i4>
      </vt:variant>
      <vt:variant>
        <vt:i4>0</vt:i4>
      </vt:variant>
      <vt:variant>
        <vt:i4>5</vt:i4>
      </vt:variant>
      <vt:variant>
        <vt:lpwstr>https://www.researchgate.net/publication/21786196_Ribosome-Inactivating_Proteins_from_Plants_Present_Status_and_Future_Prospects</vt:lpwstr>
      </vt:variant>
      <vt:variant>
        <vt:lpwstr/>
      </vt:variant>
      <vt:variant>
        <vt:i4>1179660</vt:i4>
      </vt:variant>
      <vt:variant>
        <vt:i4>12</vt:i4>
      </vt:variant>
      <vt:variant>
        <vt:i4>0</vt:i4>
      </vt:variant>
      <vt:variant>
        <vt:i4>5</vt:i4>
      </vt:variant>
      <vt:variant>
        <vt:lpwstr>https://pubmed.ncbi.nlm.nih.gov/6806598/</vt:lpwstr>
      </vt:variant>
      <vt:variant>
        <vt:lpwstr/>
      </vt:variant>
      <vt:variant>
        <vt:i4>4325377</vt:i4>
      </vt:variant>
      <vt:variant>
        <vt:i4>9</vt:i4>
      </vt:variant>
      <vt:variant>
        <vt:i4>0</vt:i4>
      </vt:variant>
      <vt:variant>
        <vt:i4>5</vt:i4>
      </vt:variant>
      <vt:variant>
        <vt:lpwstr>https://www.cdc.gov/labs/bmbl/index.html</vt:lpwstr>
      </vt:variant>
      <vt:variant>
        <vt:lpwstr/>
      </vt:variant>
      <vt:variant>
        <vt:i4>6291507</vt:i4>
      </vt:variant>
      <vt:variant>
        <vt:i4>6</vt:i4>
      </vt:variant>
      <vt:variant>
        <vt:i4>0</vt:i4>
      </vt:variant>
      <vt:variant>
        <vt:i4>5</vt:i4>
      </vt:variant>
      <vt:variant>
        <vt:lpwstr>https://osp.od.nih.gov/policies/biosafety-and-biosecurity-policy/faqs-on-toxin-experiments/</vt:lpwstr>
      </vt:variant>
      <vt:variant>
        <vt:lpwstr/>
      </vt:variant>
      <vt:variant>
        <vt:i4>4849736</vt:i4>
      </vt:variant>
      <vt:variant>
        <vt:i4>3</vt:i4>
      </vt:variant>
      <vt:variant>
        <vt:i4>0</vt:i4>
      </vt:variant>
      <vt:variant>
        <vt:i4>5</vt:i4>
      </vt:variant>
      <vt:variant>
        <vt:lpwstr>https://www.selectagents.gov/sat/permissible.htm</vt:lpwstr>
      </vt:variant>
      <vt:variant>
        <vt:lpwstr/>
      </vt:variant>
      <vt:variant>
        <vt:i4>1376281</vt:i4>
      </vt:variant>
      <vt:variant>
        <vt:i4>0</vt:i4>
      </vt:variant>
      <vt:variant>
        <vt:i4>0</vt:i4>
      </vt:variant>
      <vt:variant>
        <vt:i4>5</vt:i4>
      </vt:variant>
      <vt:variant>
        <vt:lpwstr>https://www.selectagents.gov/sat/list.htm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Rehard, David</dc:creator>
  <cp:keywords/>
  <dc:description/>
  <cp:lastModifiedBy>Roloff, Laura</cp:lastModifiedBy>
  <cp:revision>34</cp:revision>
  <dcterms:created xsi:type="dcterms:W3CDTF">2026-03-05T00:36:00Z</dcterms:created>
  <dcterms:modified xsi:type="dcterms:W3CDTF">2026-04-03T18:41:00Z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0x01010009B32BF98F89DB45AB68663F8F007158</vt:lpwstr>
  </property>
  <property fmtid="{D5CDD505-2E9C-101B-9397-08002B2CF9AE}" pid="3" name="MediaServiceImageTags">
    <vt:lpwstr/>
  </property>
  <property fmtid="{D5CDD505-2E9C-101B-9397-08002B2CF9AE}" pid="4" name="docLang">
    <vt:lpwstr>en</vt:lpwstr>
  </property>
</Properties>
</file>