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E40FD" w14:textId="77777777" w:rsidR="008337C4" w:rsidRDefault="008337C4" w:rsidP="008337C4">
      <w:pPr>
        <w:jc w:val="center"/>
        <w:rPr>
          <w:b/>
        </w:rPr>
      </w:pPr>
      <w:r>
        <w:rPr>
          <w:b/>
        </w:rPr>
        <w:t>University of Missouri-Columbia</w:t>
      </w:r>
    </w:p>
    <w:p w14:paraId="6FD02F81" w14:textId="77777777" w:rsidR="008337C4" w:rsidRDefault="008337C4" w:rsidP="008337C4">
      <w:pPr>
        <w:jc w:val="center"/>
        <w:rPr>
          <w:b/>
        </w:rPr>
      </w:pPr>
      <w:r>
        <w:rPr>
          <w:b/>
        </w:rPr>
        <w:t>Human Research Protection Program/Institutional Review Board</w:t>
      </w:r>
    </w:p>
    <w:p w14:paraId="31B5AEE2" w14:textId="1A5E8A05" w:rsidR="00384F94" w:rsidRPr="005B5E8D" w:rsidRDefault="00D44EE6" w:rsidP="00D44EE6">
      <w:pPr>
        <w:jc w:val="center"/>
        <w:rPr>
          <w:b/>
        </w:rPr>
      </w:pPr>
      <w:r w:rsidRPr="005B5E8D">
        <w:rPr>
          <w:b/>
        </w:rPr>
        <w:t>A</w:t>
      </w:r>
      <w:r w:rsidR="007553BB" w:rsidRPr="005B5E8D">
        <w:rPr>
          <w:b/>
        </w:rPr>
        <w:t>ppeals of IRB Decisions</w:t>
      </w:r>
      <w:r w:rsidR="00551CAA">
        <w:rPr>
          <w:b/>
        </w:rPr>
        <w:t xml:space="preserve"> Policy</w:t>
      </w:r>
    </w:p>
    <w:p w14:paraId="2202EA59" w14:textId="77777777" w:rsidR="00BE4CC9" w:rsidRDefault="00BE4CC9" w:rsidP="00BE4CC9">
      <w:pPr>
        <w:rPr>
          <w:sz w:val="22"/>
        </w:rPr>
      </w:pPr>
    </w:p>
    <w:p w14:paraId="64E50E6E" w14:textId="77777777" w:rsidR="00384F94" w:rsidRDefault="00384F94">
      <w:pPr>
        <w:rPr>
          <w:sz w:val="22"/>
        </w:rPr>
      </w:pPr>
    </w:p>
    <w:p w14:paraId="42677158" w14:textId="77777777" w:rsidR="00384F94" w:rsidRPr="00A66764" w:rsidRDefault="00384F94">
      <w:pPr>
        <w:numPr>
          <w:ilvl w:val="0"/>
          <w:numId w:val="2"/>
        </w:numPr>
      </w:pPr>
      <w:bookmarkStart w:id="0" w:name="purpose"/>
      <w:r w:rsidRPr="00A66764">
        <w:rPr>
          <w:b/>
          <w:bCs/>
        </w:rPr>
        <w:t>Purpose</w:t>
      </w:r>
    </w:p>
    <w:bookmarkEnd w:id="0"/>
    <w:p w14:paraId="15741F94" w14:textId="77777777" w:rsidR="00182D34" w:rsidRDefault="00182D34" w:rsidP="00182D34"/>
    <w:p w14:paraId="22EC25BE" w14:textId="77777777" w:rsidR="00384F94" w:rsidRPr="00A66764" w:rsidRDefault="00414870" w:rsidP="00182D34">
      <w:r w:rsidRPr="00A66764">
        <w:t xml:space="preserve">This policy </w:t>
      </w:r>
      <w:r w:rsidR="005646E1" w:rsidRPr="00A66764">
        <w:t>describes the process by which an investigator can appeal a decision of the IRB.</w:t>
      </w:r>
    </w:p>
    <w:p w14:paraId="5870AD9C" w14:textId="77777777" w:rsidR="00384F94" w:rsidRPr="00A66764" w:rsidRDefault="00384F94"/>
    <w:p w14:paraId="75C10D5D" w14:textId="77777777" w:rsidR="00384F94" w:rsidRPr="00A66764" w:rsidRDefault="00384F94">
      <w:pPr>
        <w:numPr>
          <w:ilvl w:val="0"/>
          <w:numId w:val="2"/>
        </w:numPr>
      </w:pPr>
      <w:bookmarkStart w:id="1" w:name="scope"/>
      <w:r w:rsidRPr="00A66764">
        <w:rPr>
          <w:b/>
          <w:bCs/>
        </w:rPr>
        <w:t>Scope</w:t>
      </w:r>
    </w:p>
    <w:bookmarkEnd w:id="1"/>
    <w:p w14:paraId="0A2AA4DF" w14:textId="77777777" w:rsidR="00182D34" w:rsidRDefault="00182D34" w:rsidP="00182D34"/>
    <w:p w14:paraId="2103AAB2" w14:textId="77777777" w:rsidR="008F7A2A" w:rsidRPr="00A66764" w:rsidRDefault="008F7A2A" w:rsidP="00182D34">
      <w:r w:rsidRPr="00A66764">
        <w:t>The SOP applies to all human subject research falling under the purview of the</w:t>
      </w:r>
      <w:r w:rsidR="00756F40" w:rsidRPr="00A66764">
        <w:t xml:space="preserve"> University of Missouri </w:t>
      </w:r>
      <w:r w:rsidRPr="00A66764">
        <w:t>Institutional Review Board.</w:t>
      </w:r>
    </w:p>
    <w:p w14:paraId="24B84489" w14:textId="77777777" w:rsidR="00384F94" w:rsidRPr="00A66764" w:rsidRDefault="00384F94"/>
    <w:p w14:paraId="4C29F564" w14:textId="77777777" w:rsidR="00384F94" w:rsidRPr="004F0FC1" w:rsidRDefault="00384F94">
      <w:pPr>
        <w:numPr>
          <w:ilvl w:val="0"/>
          <w:numId w:val="2"/>
        </w:numPr>
      </w:pPr>
      <w:bookmarkStart w:id="2" w:name="proc"/>
      <w:r w:rsidRPr="00A66764">
        <w:rPr>
          <w:b/>
          <w:bCs/>
        </w:rPr>
        <w:t>Policy/Procedure</w:t>
      </w:r>
    </w:p>
    <w:p w14:paraId="00B7CAF5" w14:textId="77777777" w:rsidR="00464F37" w:rsidRDefault="00464F37" w:rsidP="004F0FC1">
      <w:pPr>
        <w:rPr>
          <w:b/>
          <w:bCs/>
        </w:rPr>
      </w:pPr>
    </w:p>
    <w:p w14:paraId="25F1D360" w14:textId="77777777" w:rsidR="00464F37" w:rsidRDefault="00464F37" w:rsidP="004F0FC1">
      <w:pPr>
        <w:rPr>
          <w:bCs/>
        </w:rPr>
      </w:pPr>
      <w:r w:rsidRPr="004F0FC1">
        <w:rPr>
          <w:bCs/>
        </w:rPr>
        <w:t>If the IRB decides to disapprove</w:t>
      </w:r>
      <w:r>
        <w:rPr>
          <w:bCs/>
        </w:rPr>
        <w:t xml:space="preserve"> a research study</w:t>
      </w:r>
      <w:r w:rsidR="00DE5F7F">
        <w:rPr>
          <w:bCs/>
        </w:rPr>
        <w:t>/application</w:t>
      </w:r>
      <w:r w:rsidR="00E53145">
        <w:rPr>
          <w:bCs/>
        </w:rPr>
        <w:t>,</w:t>
      </w:r>
      <w:r>
        <w:rPr>
          <w:bCs/>
        </w:rPr>
        <w:t xml:space="preserve"> require modifications, </w:t>
      </w:r>
      <w:r w:rsidR="00E53145">
        <w:rPr>
          <w:bCs/>
        </w:rPr>
        <w:t xml:space="preserve">suspend, or terminate a study, </w:t>
      </w:r>
      <w:r>
        <w:rPr>
          <w:bCs/>
        </w:rPr>
        <w:t xml:space="preserve">it will include in its written </w:t>
      </w:r>
      <w:r w:rsidR="00E53145">
        <w:rPr>
          <w:bCs/>
        </w:rPr>
        <w:t>notification</w:t>
      </w:r>
      <w:r>
        <w:rPr>
          <w:bCs/>
        </w:rPr>
        <w:t xml:space="preserve"> </w:t>
      </w:r>
      <w:r w:rsidR="00E53145">
        <w:rPr>
          <w:bCs/>
        </w:rPr>
        <w:t>the reasons</w:t>
      </w:r>
      <w:r>
        <w:rPr>
          <w:bCs/>
        </w:rPr>
        <w:t xml:space="preserve"> for its </w:t>
      </w:r>
      <w:r w:rsidR="00413054">
        <w:rPr>
          <w:bCs/>
        </w:rPr>
        <w:t>decisions and</w:t>
      </w:r>
      <w:r>
        <w:rPr>
          <w:bCs/>
        </w:rPr>
        <w:t xml:space="preserve"> give the investigator an opportunity to respond in writing and appeal an IRB decision.</w:t>
      </w:r>
    </w:p>
    <w:p w14:paraId="4946D075" w14:textId="77777777" w:rsidR="00E53145" w:rsidRDefault="00E53145" w:rsidP="004F0FC1">
      <w:pPr>
        <w:rPr>
          <w:bCs/>
        </w:rPr>
      </w:pPr>
    </w:p>
    <w:p w14:paraId="3CB801E4" w14:textId="77777777" w:rsidR="00E53145" w:rsidRPr="00C81B8A" w:rsidRDefault="00E53145" w:rsidP="004F0FC1">
      <w:r>
        <w:rPr>
          <w:bCs/>
        </w:rPr>
        <w:t>If the IRB determines certain study events resulted in serious noncompliance, continuing noncompliance, and/or an unanticipated problem, it will include in its written notification the reasons for its determination and give the investigator an opportunity to respond in writing and appeal the IRB determination.</w:t>
      </w:r>
    </w:p>
    <w:bookmarkEnd w:id="2"/>
    <w:p w14:paraId="7A2D60D7" w14:textId="77777777" w:rsidR="00384F94" w:rsidRPr="00A66764" w:rsidRDefault="00384F94"/>
    <w:p w14:paraId="39E91037" w14:textId="77777777" w:rsidR="00464F37" w:rsidRDefault="00BF166C" w:rsidP="004F0FC1">
      <w:r w:rsidRPr="00A66764">
        <w:t>An IRB decision</w:t>
      </w:r>
      <w:r w:rsidR="0088026C">
        <w:t>/determination</w:t>
      </w:r>
      <w:r w:rsidRPr="00A66764">
        <w:t xml:space="preserve"> can only be appealed to the </w:t>
      </w:r>
      <w:r w:rsidR="00C81B8A">
        <w:t>convened b</w:t>
      </w:r>
      <w:r w:rsidR="00A868E0" w:rsidRPr="00A66764">
        <w:t>oard</w:t>
      </w:r>
      <w:r w:rsidRPr="00A66764">
        <w:t xml:space="preserve">. </w:t>
      </w:r>
      <w:r w:rsidR="003B45CC">
        <w:t xml:space="preserve">A written appeal must be submitted to the IRB office no later than </w:t>
      </w:r>
      <w:r w:rsidR="00C06EC8">
        <w:t>2</w:t>
      </w:r>
      <w:r w:rsidR="003B45CC">
        <w:t>0 days after receiving the written IRB decision/determination.</w:t>
      </w:r>
    </w:p>
    <w:p w14:paraId="3D1FEE6A" w14:textId="77777777" w:rsidR="00BF166C" w:rsidRPr="00A66764" w:rsidRDefault="00BF166C" w:rsidP="004F0FC1"/>
    <w:p w14:paraId="0D0A2995" w14:textId="77777777" w:rsidR="00BF166C" w:rsidRPr="00A66764" w:rsidRDefault="00BF166C" w:rsidP="004F0FC1">
      <w:r w:rsidRPr="00A66764">
        <w:t xml:space="preserve">The investigator may be invited by </w:t>
      </w:r>
      <w:r w:rsidR="00E53145">
        <w:t xml:space="preserve">a </w:t>
      </w:r>
      <w:r w:rsidRPr="00A66764">
        <w:t>Chair</w:t>
      </w:r>
      <w:r w:rsidR="00172134">
        <w:t xml:space="preserve"> or designee</w:t>
      </w:r>
      <w:r w:rsidRPr="00A66764">
        <w:t xml:space="preserve"> to attend the full board meeting </w:t>
      </w:r>
      <w:r w:rsidR="00172134">
        <w:t>and/</w:t>
      </w:r>
      <w:r w:rsidRPr="00A66764">
        <w:t xml:space="preserve">or meet with </w:t>
      </w:r>
      <w:r w:rsidR="00172134">
        <w:t>them</w:t>
      </w:r>
      <w:r w:rsidRPr="00A66764">
        <w:t xml:space="preserve"> prior to the meeting at which the appeal is presented.</w:t>
      </w:r>
      <w:r w:rsidR="0005069B">
        <w:t xml:space="preserve"> </w:t>
      </w:r>
      <w:r w:rsidRPr="00A66764">
        <w:t xml:space="preserve">The investigator </w:t>
      </w:r>
      <w:r w:rsidR="0005069B">
        <w:t>may be</w:t>
      </w:r>
      <w:r w:rsidR="0005069B" w:rsidRPr="00A66764">
        <w:t xml:space="preserve"> </w:t>
      </w:r>
      <w:r w:rsidRPr="00A66764">
        <w:t>invited for purposes of answering questions posed by the board members.</w:t>
      </w:r>
      <w:r w:rsidR="00C81B8A">
        <w:t xml:space="preserve"> </w:t>
      </w:r>
      <w:r w:rsidRPr="00A66764">
        <w:t xml:space="preserve">The investigator </w:t>
      </w:r>
      <w:r w:rsidR="00464F37">
        <w:t>would be required to leave</w:t>
      </w:r>
      <w:r w:rsidR="00464F37" w:rsidRPr="00A66764">
        <w:t xml:space="preserve"> </w:t>
      </w:r>
      <w:r w:rsidR="00CC3972">
        <w:t xml:space="preserve">the meeting </w:t>
      </w:r>
      <w:r w:rsidRPr="00A66764">
        <w:t xml:space="preserve">prior to </w:t>
      </w:r>
      <w:r w:rsidR="00464F37">
        <w:t>b</w:t>
      </w:r>
      <w:r w:rsidRPr="00A66764">
        <w:t>oard discussion and vote on the issue.</w:t>
      </w:r>
    </w:p>
    <w:p w14:paraId="59EA0122" w14:textId="77777777" w:rsidR="00464F37" w:rsidRPr="00A66764" w:rsidRDefault="00464F37" w:rsidP="004F0FC1"/>
    <w:p w14:paraId="013A648D" w14:textId="77777777" w:rsidR="00172134" w:rsidRDefault="00BF166C" w:rsidP="004F0FC1">
      <w:r w:rsidRPr="00A66764">
        <w:t>If the appeal is denied</w:t>
      </w:r>
      <w:r w:rsidR="00BD6A33" w:rsidRPr="00A66764">
        <w:t>,</w:t>
      </w:r>
      <w:r w:rsidRPr="00A66764">
        <w:t xml:space="preserve"> the </w:t>
      </w:r>
      <w:r w:rsidR="00464F37">
        <w:t>b</w:t>
      </w:r>
      <w:r w:rsidRPr="00A66764">
        <w:t>oard decision</w:t>
      </w:r>
      <w:r w:rsidR="00172134">
        <w:t>/determination</w:t>
      </w:r>
      <w:r w:rsidRPr="00A66764">
        <w:t xml:space="preserve"> cannot be overridden by another party.</w:t>
      </w:r>
      <w:r w:rsidR="00464F37">
        <w:t xml:space="preserve"> </w:t>
      </w:r>
      <w:r w:rsidR="00172134">
        <w:t>The investigator will receive written documentation regarding the outcome of the appeal</w:t>
      </w:r>
      <w:r w:rsidR="00DB2A6C">
        <w:t xml:space="preserve"> within 30 days of the board meeting at which it was presented</w:t>
      </w:r>
      <w:r w:rsidR="00172134">
        <w:t xml:space="preserve">. </w:t>
      </w:r>
    </w:p>
    <w:p w14:paraId="3830179E" w14:textId="77777777" w:rsidR="00172134" w:rsidRDefault="00172134" w:rsidP="004F0FC1"/>
    <w:p w14:paraId="2806CA30" w14:textId="77777777" w:rsidR="00BF166C" w:rsidRDefault="00464F37" w:rsidP="004F0FC1">
      <w:r>
        <w:t xml:space="preserve">The IRB </w:t>
      </w:r>
      <w:r w:rsidR="00FB5282">
        <w:t xml:space="preserve">always </w:t>
      </w:r>
      <w:r>
        <w:t>retains the final authority for approval of proposed research with human subjects.</w:t>
      </w:r>
    </w:p>
    <w:p w14:paraId="278764D0" w14:textId="77777777" w:rsidR="00172134" w:rsidRDefault="00172134" w:rsidP="004F0FC1"/>
    <w:p w14:paraId="6A3D05F7" w14:textId="77777777" w:rsidR="008A3D2F" w:rsidRDefault="008A3D2F" w:rsidP="008A3D2F">
      <w:pPr>
        <w:pStyle w:val="BodyTextIndent"/>
        <w:ind w:left="0"/>
        <w:rPr>
          <w:b/>
          <w:bCs/>
          <w:sz w:val="24"/>
          <w:szCs w:val="24"/>
        </w:rPr>
      </w:pPr>
      <w:r w:rsidRPr="00B07732">
        <w:rPr>
          <w:b/>
          <w:bCs/>
          <w:sz w:val="24"/>
          <w:szCs w:val="24"/>
        </w:rPr>
        <w:t>Effective and Revision Dates:</w:t>
      </w:r>
    </w:p>
    <w:p w14:paraId="6B760DE9" w14:textId="5A868F93" w:rsidR="008337C4" w:rsidRPr="008337C4" w:rsidRDefault="008337C4" w:rsidP="008A3D2F">
      <w:pPr>
        <w:pStyle w:val="BodyTextIndent"/>
        <w:ind w:left="0"/>
        <w:rPr>
          <w:sz w:val="24"/>
          <w:szCs w:val="24"/>
        </w:rPr>
      </w:pPr>
      <w:r>
        <w:rPr>
          <w:sz w:val="24"/>
          <w:szCs w:val="24"/>
        </w:rPr>
        <w:t>January 21, 2019; July 16, 2026</w:t>
      </w:r>
    </w:p>
    <w:p w14:paraId="5D5EE5F7" w14:textId="77777777" w:rsidR="008A3D2F" w:rsidRDefault="008A3D2F" w:rsidP="008A3D2F">
      <w:pPr>
        <w:pStyle w:val="BodyTextIndent"/>
        <w:rPr>
          <w:sz w:val="24"/>
          <w:szCs w:val="24"/>
        </w:rPr>
      </w:pPr>
    </w:p>
    <w:p w14:paraId="1CA91BC2" w14:textId="77777777" w:rsidR="008A3D2F" w:rsidRDefault="008A3D2F" w:rsidP="008A3D2F">
      <w:r w:rsidRPr="00B07732">
        <w:rPr>
          <w:b/>
          <w:bCs/>
        </w:rPr>
        <w:t>Approved By:</w:t>
      </w:r>
      <w:r>
        <w:rPr>
          <w:b/>
          <w:bCs/>
        </w:rPr>
        <w:t xml:space="preserve"> </w:t>
      </w:r>
      <w:r>
        <w:t>Michele Kennett, JD, MSN, LLM, PhD, Associate Vice Chancellor for Research and Institutional Official</w:t>
      </w:r>
    </w:p>
    <w:p w14:paraId="1E9AB1F4" w14:textId="77777777" w:rsidR="00C81B8A" w:rsidRPr="00A66764" w:rsidRDefault="00C81B8A" w:rsidP="00E303EB">
      <w:pPr>
        <w:jc w:val="right"/>
        <w:rPr>
          <w:color w:val="800000"/>
        </w:rPr>
      </w:pPr>
    </w:p>
    <w:p w14:paraId="2FA99444" w14:textId="77777777" w:rsidR="008456FB" w:rsidRDefault="008456FB" w:rsidP="008456FB">
      <w:pPr>
        <w:pStyle w:val="BodyTextIndent"/>
        <w:ind w:left="0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>References:</w:t>
      </w:r>
    </w:p>
    <w:p w14:paraId="17A9B824" w14:textId="77777777" w:rsidR="008456FB" w:rsidRDefault="008456FB" w:rsidP="008456FB">
      <w:pPr>
        <w:pStyle w:val="BodyTextIndent"/>
        <w:ind w:left="0"/>
        <w:rPr>
          <w:b/>
          <w:sz w:val="24"/>
          <w:u w:val="single"/>
        </w:rPr>
      </w:pPr>
    </w:p>
    <w:p w14:paraId="650A02D6" w14:textId="77777777" w:rsidR="008456FB" w:rsidRDefault="008456FB" w:rsidP="008456FB">
      <w:pPr>
        <w:pStyle w:val="BodyTextIndent"/>
        <w:ind w:left="0"/>
        <w:rPr>
          <w:sz w:val="24"/>
        </w:rPr>
      </w:pPr>
      <w:r>
        <w:rPr>
          <w:sz w:val="24"/>
        </w:rPr>
        <w:t xml:space="preserve">Policy Revision Dates Prior to January 21, 2019: </w:t>
      </w:r>
    </w:p>
    <w:p w14:paraId="4C1BA9B4" w14:textId="77777777" w:rsidR="008456FB" w:rsidRDefault="008456FB" w:rsidP="008456FB">
      <w:pPr>
        <w:pStyle w:val="BodyTextIndent"/>
        <w:ind w:left="0"/>
        <w:rPr>
          <w:sz w:val="24"/>
        </w:rPr>
      </w:pPr>
      <w:r>
        <w:rPr>
          <w:sz w:val="24"/>
        </w:rPr>
        <w:t>December 1, 2006; June 10, 2010; July 1, 2011; March 1, 2015; July 1, 2015; June 8, 2017</w:t>
      </w:r>
    </w:p>
    <w:p w14:paraId="5C4A2FB0" w14:textId="77777777" w:rsidR="00384F94" w:rsidRDefault="00384F94"/>
    <w:p w14:paraId="25144FDA" w14:textId="77777777" w:rsidR="008456FB" w:rsidRPr="00A66764" w:rsidRDefault="008456FB"/>
    <w:sectPr w:rsidR="008456FB" w:rsidRPr="00A66764" w:rsidSect="00593C4A">
      <w:head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55F51" w14:textId="77777777" w:rsidR="00FE5B65" w:rsidRDefault="00FE5B65">
      <w:r>
        <w:separator/>
      </w:r>
    </w:p>
  </w:endnote>
  <w:endnote w:type="continuationSeparator" w:id="0">
    <w:p w14:paraId="5BB01152" w14:textId="77777777" w:rsidR="00FE5B65" w:rsidRDefault="00FE5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60503" w14:textId="77777777" w:rsidR="00FE5B65" w:rsidRDefault="00FE5B65">
      <w:r>
        <w:separator/>
      </w:r>
    </w:p>
  </w:footnote>
  <w:footnote w:type="continuationSeparator" w:id="0">
    <w:p w14:paraId="645AB357" w14:textId="77777777" w:rsidR="00FE5B65" w:rsidRDefault="00FE5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BAADB" w14:textId="77777777" w:rsidR="000D6262" w:rsidRPr="003932ED" w:rsidRDefault="002D76C7">
    <w:pPr>
      <w:pStyle w:val="Header"/>
      <w:jc w:val="center"/>
      <w:rPr>
        <w:b/>
        <w:sz w:val="22"/>
      </w:rPr>
    </w:pPr>
    <w:r w:rsidRPr="003932ED">
      <w:rPr>
        <w:b/>
        <w:sz w:val="22"/>
      </w:rPr>
      <w:t xml:space="preserve"> </w:t>
    </w:r>
    <w:r w:rsidR="003932ED" w:rsidRPr="003932ED">
      <w:rPr>
        <w:b/>
        <w:sz w:val="22"/>
      </w:rPr>
      <w:t xml:space="preserve">SOP - </w:t>
    </w:r>
    <w:r w:rsidR="00BF166C" w:rsidRPr="003932ED">
      <w:rPr>
        <w:b/>
        <w:sz w:val="22"/>
      </w:rPr>
      <w:t>Appeal of IRB Decisions</w:t>
    </w:r>
  </w:p>
  <w:p w14:paraId="5B565F29" w14:textId="77777777" w:rsidR="00384F94" w:rsidRPr="003932ED" w:rsidRDefault="00384F94">
    <w:pPr>
      <w:pStyle w:val="Header"/>
      <w:jc w:val="center"/>
      <w:rPr>
        <w:b/>
        <w:sz w:val="22"/>
      </w:rPr>
    </w:pPr>
    <w:r w:rsidRPr="003932ED">
      <w:rPr>
        <w:b/>
        <w:sz w:val="22"/>
      </w:rPr>
      <w:t xml:space="preserve">Page </w:t>
    </w:r>
    <w:r w:rsidR="0094789C" w:rsidRPr="003932ED">
      <w:rPr>
        <w:b/>
        <w:sz w:val="22"/>
      </w:rPr>
      <w:fldChar w:fldCharType="begin"/>
    </w:r>
    <w:r w:rsidRPr="003932ED">
      <w:rPr>
        <w:b/>
        <w:sz w:val="22"/>
      </w:rPr>
      <w:instrText xml:space="preserve"> PAGE </w:instrText>
    </w:r>
    <w:r w:rsidR="0094789C" w:rsidRPr="003932ED">
      <w:rPr>
        <w:b/>
        <w:sz w:val="22"/>
      </w:rPr>
      <w:fldChar w:fldCharType="separate"/>
    </w:r>
    <w:r w:rsidR="004F0FC1">
      <w:rPr>
        <w:b/>
        <w:noProof/>
        <w:sz w:val="22"/>
      </w:rPr>
      <w:t>2</w:t>
    </w:r>
    <w:r w:rsidR="0094789C" w:rsidRPr="003932ED">
      <w:rPr>
        <w:b/>
        <w:sz w:val="22"/>
      </w:rPr>
      <w:fldChar w:fldCharType="end"/>
    </w:r>
    <w:r w:rsidRPr="003932ED">
      <w:rPr>
        <w:b/>
        <w:sz w:val="22"/>
      </w:rPr>
      <w:t xml:space="preserve"> of </w:t>
    </w:r>
    <w:r w:rsidR="0094789C" w:rsidRPr="003932ED">
      <w:rPr>
        <w:b/>
        <w:sz w:val="22"/>
      </w:rPr>
      <w:fldChar w:fldCharType="begin"/>
    </w:r>
    <w:r w:rsidRPr="003932ED">
      <w:rPr>
        <w:b/>
        <w:sz w:val="22"/>
      </w:rPr>
      <w:instrText xml:space="preserve"> NUMPAGES </w:instrText>
    </w:r>
    <w:r w:rsidR="0094789C" w:rsidRPr="003932ED">
      <w:rPr>
        <w:b/>
        <w:sz w:val="22"/>
      </w:rPr>
      <w:fldChar w:fldCharType="separate"/>
    </w:r>
    <w:r w:rsidR="004F0FC1">
      <w:rPr>
        <w:b/>
        <w:noProof/>
        <w:sz w:val="22"/>
      </w:rPr>
      <w:t>2</w:t>
    </w:r>
    <w:r w:rsidR="0094789C" w:rsidRPr="003932ED">
      <w:rPr>
        <w:b/>
        <w:sz w:val="22"/>
      </w:rPr>
      <w:fldChar w:fldCharType="end"/>
    </w:r>
  </w:p>
  <w:p w14:paraId="1B8D8C4D" w14:textId="77777777" w:rsidR="00384F94" w:rsidRDefault="00384F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098B7E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3635E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4A0A64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FA6D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2228C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E0D38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D62E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6E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CE2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D065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345918"/>
    <w:multiLevelType w:val="hybridMultilevel"/>
    <w:tmpl w:val="7BA0263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E460ADD"/>
    <w:multiLevelType w:val="singleLevel"/>
    <w:tmpl w:val="E19016B4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2" w15:restartNumberingAfterBreak="0">
    <w:nsid w:val="53681720"/>
    <w:multiLevelType w:val="hybridMultilevel"/>
    <w:tmpl w:val="D2D26D3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136664"/>
    <w:multiLevelType w:val="singleLevel"/>
    <w:tmpl w:val="CB4A50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4" w15:restartNumberingAfterBreak="0">
    <w:nsid w:val="69512636"/>
    <w:multiLevelType w:val="hybridMultilevel"/>
    <w:tmpl w:val="312CCB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A114C1"/>
    <w:multiLevelType w:val="multilevel"/>
    <w:tmpl w:val="B3929AB6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b/>
      </w:rPr>
    </w:lvl>
  </w:abstractNum>
  <w:num w:numId="1" w16cid:durableId="1858301150">
    <w:abstractNumId w:val="9"/>
  </w:num>
  <w:num w:numId="2" w16cid:durableId="1156260132">
    <w:abstractNumId w:val="15"/>
  </w:num>
  <w:num w:numId="3" w16cid:durableId="407701130">
    <w:abstractNumId w:val="12"/>
  </w:num>
  <w:num w:numId="4" w16cid:durableId="396900138">
    <w:abstractNumId w:val="14"/>
  </w:num>
  <w:num w:numId="5" w16cid:durableId="376515039">
    <w:abstractNumId w:val="13"/>
  </w:num>
  <w:num w:numId="6" w16cid:durableId="118651413">
    <w:abstractNumId w:val="11"/>
  </w:num>
  <w:num w:numId="7" w16cid:durableId="1017804165">
    <w:abstractNumId w:val="7"/>
  </w:num>
  <w:num w:numId="8" w16cid:durableId="1338000457">
    <w:abstractNumId w:val="6"/>
  </w:num>
  <w:num w:numId="9" w16cid:durableId="1663853037">
    <w:abstractNumId w:val="5"/>
  </w:num>
  <w:num w:numId="10" w16cid:durableId="365062790">
    <w:abstractNumId w:val="4"/>
  </w:num>
  <w:num w:numId="11" w16cid:durableId="1638295614">
    <w:abstractNumId w:val="8"/>
  </w:num>
  <w:num w:numId="12" w16cid:durableId="1600407115">
    <w:abstractNumId w:val="3"/>
  </w:num>
  <w:num w:numId="13" w16cid:durableId="2076312960">
    <w:abstractNumId w:val="2"/>
  </w:num>
  <w:num w:numId="14" w16cid:durableId="1039091451">
    <w:abstractNumId w:val="1"/>
  </w:num>
  <w:num w:numId="15" w16cid:durableId="1312634282">
    <w:abstractNumId w:val="0"/>
  </w:num>
  <w:num w:numId="16" w16cid:durableId="19124194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73D"/>
    <w:rsid w:val="00000ADC"/>
    <w:rsid w:val="00025968"/>
    <w:rsid w:val="0005069B"/>
    <w:rsid w:val="00086B0A"/>
    <w:rsid w:val="000B5F54"/>
    <w:rsid w:val="000D6262"/>
    <w:rsid w:val="00172134"/>
    <w:rsid w:val="00182D34"/>
    <w:rsid w:val="00193E84"/>
    <w:rsid w:val="001C6FF5"/>
    <w:rsid w:val="001C7F08"/>
    <w:rsid w:val="00217902"/>
    <w:rsid w:val="002277C5"/>
    <w:rsid w:val="00230760"/>
    <w:rsid w:val="002C4639"/>
    <w:rsid w:val="002D76C7"/>
    <w:rsid w:val="00316A91"/>
    <w:rsid w:val="00333923"/>
    <w:rsid w:val="00333AE0"/>
    <w:rsid w:val="00382B18"/>
    <w:rsid w:val="00384F94"/>
    <w:rsid w:val="003932ED"/>
    <w:rsid w:val="00396886"/>
    <w:rsid w:val="003B45CC"/>
    <w:rsid w:val="003D5A0F"/>
    <w:rsid w:val="003F6666"/>
    <w:rsid w:val="00413054"/>
    <w:rsid w:val="004145A8"/>
    <w:rsid w:val="00414870"/>
    <w:rsid w:val="0042045E"/>
    <w:rsid w:val="0042235E"/>
    <w:rsid w:val="00440E88"/>
    <w:rsid w:val="0045445A"/>
    <w:rsid w:val="00464F37"/>
    <w:rsid w:val="00484EB9"/>
    <w:rsid w:val="0049354A"/>
    <w:rsid w:val="004A26E5"/>
    <w:rsid w:val="004D6ECC"/>
    <w:rsid w:val="004F0FC1"/>
    <w:rsid w:val="00502AFF"/>
    <w:rsid w:val="00551CAA"/>
    <w:rsid w:val="005646E1"/>
    <w:rsid w:val="005777A8"/>
    <w:rsid w:val="00593C4A"/>
    <w:rsid w:val="005A12D3"/>
    <w:rsid w:val="005B5954"/>
    <w:rsid w:val="005B5E8D"/>
    <w:rsid w:val="005D2677"/>
    <w:rsid w:val="00603A59"/>
    <w:rsid w:val="00610A51"/>
    <w:rsid w:val="006566ED"/>
    <w:rsid w:val="0068461E"/>
    <w:rsid w:val="00684BB9"/>
    <w:rsid w:val="006A7365"/>
    <w:rsid w:val="006B0050"/>
    <w:rsid w:val="007553BB"/>
    <w:rsid w:val="00756F40"/>
    <w:rsid w:val="007741EF"/>
    <w:rsid w:val="00784027"/>
    <w:rsid w:val="007C1360"/>
    <w:rsid w:val="007D683E"/>
    <w:rsid w:val="007F11A7"/>
    <w:rsid w:val="008337C4"/>
    <w:rsid w:val="008456FB"/>
    <w:rsid w:val="0088026C"/>
    <w:rsid w:val="0089341C"/>
    <w:rsid w:val="008A3D2F"/>
    <w:rsid w:val="008D2DE3"/>
    <w:rsid w:val="008F7A2A"/>
    <w:rsid w:val="009104CC"/>
    <w:rsid w:val="00911E96"/>
    <w:rsid w:val="00923DAB"/>
    <w:rsid w:val="009330B9"/>
    <w:rsid w:val="00934C05"/>
    <w:rsid w:val="009458AF"/>
    <w:rsid w:val="0094789C"/>
    <w:rsid w:val="00956C49"/>
    <w:rsid w:val="00964896"/>
    <w:rsid w:val="009751C0"/>
    <w:rsid w:val="0097578F"/>
    <w:rsid w:val="009A6657"/>
    <w:rsid w:val="009C052F"/>
    <w:rsid w:val="00A1720F"/>
    <w:rsid w:val="00A5581D"/>
    <w:rsid w:val="00A66764"/>
    <w:rsid w:val="00A868E0"/>
    <w:rsid w:val="00AD20DD"/>
    <w:rsid w:val="00B0227E"/>
    <w:rsid w:val="00BD6A33"/>
    <w:rsid w:val="00BE4CC9"/>
    <w:rsid w:val="00BF166C"/>
    <w:rsid w:val="00C06EC8"/>
    <w:rsid w:val="00C22A65"/>
    <w:rsid w:val="00C3768A"/>
    <w:rsid w:val="00C81B8A"/>
    <w:rsid w:val="00CC3972"/>
    <w:rsid w:val="00CF6F7E"/>
    <w:rsid w:val="00D01631"/>
    <w:rsid w:val="00D26807"/>
    <w:rsid w:val="00D44EE6"/>
    <w:rsid w:val="00D53157"/>
    <w:rsid w:val="00DB2A6C"/>
    <w:rsid w:val="00DB45C2"/>
    <w:rsid w:val="00DE5F7F"/>
    <w:rsid w:val="00E303EB"/>
    <w:rsid w:val="00E53145"/>
    <w:rsid w:val="00E73377"/>
    <w:rsid w:val="00EC4322"/>
    <w:rsid w:val="00ED6324"/>
    <w:rsid w:val="00F1773D"/>
    <w:rsid w:val="00F460EA"/>
    <w:rsid w:val="00F53B7F"/>
    <w:rsid w:val="00FA0A7A"/>
    <w:rsid w:val="00FB5282"/>
    <w:rsid w:val="00FB62AF"/>
    <w:rsid w:val="00FE5B65"/>
    <w:rsid w:val="00FF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37B120"/>
  <w15:chartTrackingRefBased/>
  <w15:docId w15:val="{189E2366-8243-48C7-8982-6FC19511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789C"/>
    <w:rPr>
      <w:sz w:val="24"/>
      <w:szCs w:val="24"/>
    </w:rPr>
  </w:style>
  <w:style w:type="paragraph" w:styleId="Heading1">
    <w:name w:val="heading 1"/>
    <w:basedOn w:val="Normal"/>
    <w:next w:val="Normal"/>
    <w:qFormat/>
    <w:rsid w:val="0094789C"/>
    <w:pPr>
      <w:keepNext/>
      <w:jc w:val="center"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rsid w:val="0094789C"/>
    <w:pPr>
      <w:keepNext/>
      <w:ind w:left="720"/>
      <w:outlineLvl w:val="1"/>
    </w:pPr>
    <w:rPr>
      <w:i/>
      <w:iCs/>
      <w:sz w:val="22"/>
    </w:rPr>
  </w:style>
  <w:style w:type="paragraph" w:styleId="Heading3">
    <w:name w:val="heading 3"/>
    <w:basedOn w:val="Normal"/>
    <w:next w:val="Normal"/>
    <w:qFormat/>
    <w:rsid w:val="0094789C"/>
    <w:pPr>
      <w:keepNext/>
      <w:ind w:left="720"/>
      <w:outlineLvl w:val="2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4789C"/>
    <w:rPr>
      <w:color w:val="0000FF"/>
      <w:u w:val="single"/>
    </w:rPr>
  </w:style>
  <w:style w:type="paragraph" w:customStyle="1" w:styleId="Style1">
    <w:name w:val="Style1"/>
    <w:basedOn w:val="ListBullet"/>
    <w:rsid w:val="0094789C"/>
    <w:pPr>
      <w:numPr>
        <w:numId w:val="0"/>
      </w:numPr>
      <w:tabs>
        <w:tab w:val="left" w:pos="180"/>
      </w:tabs>
    </w:pPr>
    <w:rPr>
      <w:szCs w:val="20"/>
    </w:rPr>
  </w:style>
  <w:style w:type="paragraph" w:styleId="Header">
    <w:name w:val="header"/>
    <w:basedOn w:val="Normal"/>
    <w:rsid w:val="0094789C"/>
    <w:pPr>
      <w:tabs>
        <w:tab w:val="center" w:pos="4320"/>
        <w:tab w:val="right" w:pos="8640"/>
      </w:tabs>
    </w:pPr>
    <w:rPr>
      <w:szCs w:val="20"/>
    </w:rPr>
  </w:style>
  <w:style w:type="paragraph" w:styleId="ListBullet">
    <w:name w:val="List Bullet"/>
    <w:basedOn w:val="Normal"/>
    <w:autoRedefine/>
    <w:rsid w:val="0094789C"/>
    <w:pPr>
      <w:numPr>
        <w:numId w:val="1"/>
      </w:numPr>
    </w:pPr>
  </w:style>
  <w:style w:type="paragraph" w:styleId="Footer">
    <w:name w:val="footer"/>
    <w:basedOn w:val="Normal"/>
    <w:rsid w:val="0094789C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502AFF"/>
    <w:pPr>
      <w:ind w:left="720"/>
    </w:pPr>
    <w:rPr>
      <w:sz w:val="22"/>
      <w:szCs w:val="20"/>
    </w:rPr>
  </w:style>
  <w:style w:type="paragraph" w:styleId="NormalIndent">
    <w:name w:val="Normal Indent"/>
    <w:basedOn w:val="Normal"/>
    <w:rsid w:val="006A7365"/>
    <w:pPr>
      <w:ind w:left="720"/>
    </w:pPr>
  </w:style>
  <w:style w:type="paragraph" w:styleId="BodyText">
    <w:name w:val="Body Text"/>
    <w:basedOn w:val="Normal"/>
    <w:rsid w:val="006A7365"/>
    <w:pPr>
      <w:spacing w:after="120"/>
    </w:pPr>
  </w:style>
  <w:style w:type="paragraph" w:styleId="BalloonText">
    <w:name w:val="Balloon Text"/>
    <w:basedOn w:val="Normal"/>
    <w:link w:val="BalloonTextChar"/>
    <w:rsid w:val="00593C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C4A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BE4CC9"/>
    <w:rPr>
      <w:color w:val="800080"/>
      <w:u w:val="single"/>
    </w:rPr>
  </w:style>
  <w:style w:type="paragraph" w:styleId="Revision">
    <w:name w:val="Revision"/>
    <w:hidden/>
    <w:uiPriority w:val="99"/>
    <w:semiHidden/>
    <w:rsid w:val="008A3D2F"/>
    <w:rPr>
      <w:sz w:val="24"/>
      <w:szCs w:val="24"/>
    </w:rPr>
  </w:style>
  <w:style w:type="table" w:styleId="TableGrid">
    <w:name w:val="Table Grid"/>
    <w:basedOn w:val="TableNormal"/>
    <w:rsid w:val="008A3D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7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8c36e4-03ed-4671-a714-4b2eff8e64ad">
      <Terms xmlns="http://schemas.microsoft.com/office/infopath/2007/PartnerControls"/>
    </lcf76f155ced4ddcb4097134ff3c332f>
    <TaxCatchAll xmlns="1c1509c2-8dc3-465d-82b1-58e4055cbad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CC65492B2D2B45BDFD3C1876C8B7DF" ma:contentTypeVersion="18" ma:contentTypeDescription="Create a new document." ma:contentTypeScope="" ma:versionID="0a91ebb11fe9c043842b2b886b8b6706">
  <xsd:schema xmlns:xsd="http://www.w3.org/2001/XMLSchema" xmlns:xs="http://www.w3.org/2001/XMLSchema" xmlns:p="http://schemas.microsoft.com/office/2006/metadata/properties" xmlns:ns2="578c36e4-03ed-4671-a714-4b2eff8e64ad" xmlns:ns3="1c1509c2-8dc3-465d-82b1-58e4055cbad7" targetNamespace="http://schemas.microsoft.com/office/2006/metadata/properties" ma:root="true" ma:fieldsID="8796bcf1fcc732eeed97c0607bc6be23" ns2:_="" ns3:_="">
    <xsd:import namespace="578c36e4-03ed-4671-a714-4b2eff8e64ad"/>
    <xsd:import namespace="1c1509c2-8dc3-465d-82b1-58e4055cb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8c36e4-03ed-4671-a714-4b2eff8e6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e20e570-3a27-4eff-9ea0-d3488a33f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509c2-8dc3-465d-82b1-58e4055cb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00162f7-2208-4d42-9397-d329260c7414}" ma:internalName="TaxCatchAll" ma:showField="CatchAllData" ma:web="1c1509c2-8dc3-465d-82b1-58e4055cb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1C0462-9B39-4B88-AF97-4C2C7392FB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6CB7F8-3A90-40EA-9B93-5B7CD0EA5587}">
  <ds:schemaRefs>
    <ds:schemaRef ds:uri="http://schemas.microsoft.com/office/2006/metadata/properties"/>
    <ds:schemaRef ds:uri="http://schemas.microsoft.com/office/infopath/2007/PartnerControls"/>
    <ds:schemaRef ds:uri="578c36e4-03ed-4671-a714-4b2eff8e64ad"/>
    <ds:schemaRef ds:uri="1c1509c2-8dc3-465d-82b1-58e4055cbad7"/>
  </ds:schemaRefs>
</ds:datastoreItem>
</file>

<file path=customXml/itemProps3.xml><?xml version="1.0" encoding="utf-8"?>
<ds:datastoreItem xmlns:ds="http://schemas.openxmlformats.org/officeDocument/2006/customXml" ds:itemID="{EC4C71EE-4689-49F5-AAFA-E262FB8C6A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8c36e4-03ed-4671-a714-4b2eff8e64ad"/>
    <ds:schemaRef ds:uri="1c1509c2-8dc3-465d-82b1-58e4055cb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Primary Investigator:  A person responsible for the research at the site</vt:lpstr>
    </vt:vector>
  </TitlesOfParts>
  <Company>University of Missouri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Primary Investigator:  A person responsible for the research at the site</dc:title>
  <dc:subject/>
  <dc:creator>wilsonbe</dc:creator>
  <cp:keywords/>
  <dc:description/>
  <cp:lastModifiedBy>Greening, Janelle</cp:lastModifiedBy>
  <cp:revision>3</cp:revision>
  <cp:lastPrinted>2010-05-28T15:28:00Z</cp:lastPrinted>
  <dcterms:created xsi:type="dcterms:W3CDTF">2026-08-03T15:19:00Z</dcterms:created>
  <dcterms:modified xsi:type="dcterms:W3CDTF">2026-08-03T15:21:00Z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