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41E77" w14:textId="77777777" w:rsidR="006C5D4B" w:rsidRDefault="006C5D4B" w:rsidP="006C5D4B">
      <w:pPr>
        <w:jc w:val="center"/>
        <w:rPr>
          <w:b/>
        </w:rPr>
      </w:pPr>
      <w:r>
        <w:rPr>
          <w:b/>
        </w:rPr>
        <w:t>University of Missouri-Columbia</w:t>
      </w:r>
    </w:p>
    <w:p w14:paraId="6E217AC4" w14:textId="77777777" w:rsidR="006C5D4B" w:rsidRDefault="006C5D4B" w:rsidP="006C5D4B">
      <w:pPr>
        <w:jc w:val="center"/>
        <w:rPr>
          <w:b/>
        </w:rPr>
      </w:pPr>
      <w:r>
        <w:rPr>
          <w:b/>
        </w:rPr>
        <w:t>Human Research Protection Program/Institutional Review Board</w:t>
      </w:r>
    </w:p>
    <w:p w14:paraId="3D63A06C" w14:textId="27C6F362" w:rsidR="000B7CFE" w:rsidRPr="002C0DF1" w:rsidRDefault="009B1D16">
      <w:pPr>
        <w:pStyle w:val="Heading1"/>
        <w:rPr>
          <w:sz w:val="24"/>
        </w:rPr>
      </w:pPr>
      <w:r>
        <w:rPr>
          <w:sz w:val="24"/>
        </w:rPr>
        <w:t>Annual</w:t>
      </w:r>
      <w:r w:rsidRPr="002C0DF1">
        <w:rPr>
          <w:sz w:val="24"/>
        </w:rPr>
        <w:t xml:space="preserve"> </w:t>
      </w:r>
      <w:r w:rsidR="000B7CFE" w:rsidRPr="002C0DF1">
        <w:rPr>
          <w:sz w:val="24"/>
        </w:rPr>
        <w:t xml:space="preserve">Review </w:t>
      </w:r>
      <w:r w:rsidR="00946449">
        <w:rPr>
          <w:sz w:val="24"/>
        </w:rPr>
        <w:t xml:space="preserve">of Research </w:t>
      </w:r>
      <w:r w:rsidR="006C5D4B">
        <w:rPr>
          <w:sz w:val="24"/>
        </w:rPr>
        <w:t>Policy</w:t>
      </w:r>
    </w:p>
    <w:p w14:paraId="320E167E" w14:textId="77777777" w:rsidR="000B7CFE" w:rsidRDefault="000B7CFE">
      <w:pPr>
        <w:jc w:val="center"/>
        <w:rPr>
          <w:b/>
          <w:bCs/>
          <w:sz w:val="22"/>
        </w:rPr>
      </w:pPr>
    </w:p>
    <w:p w14:paraId="6181AFA5" w14:textId="77777777" w:rsidR="000B7CFE" w:rsidRDefault="000B7CFE">
      <w:pPr>
        <w:jc w:val="center"/>
        <w:rPr>
          <w:sz w:val="22"/>
        </w:rPr>
      </w:pPr>
    </w:p>
    <w:p w14:paraId="473C3EE8" w14:textId="77777777" w:rsidR="000B7CFE" w:rsidRPr="006F268C" w:rsidRDefault="000B7CFE">
      <w:pPr>
        <w:numPr>
          <w:ilvl w:val="0"/>
          <w:numId w:val="2"/>
        </w:numPr>
      </w:pPr>
      <w:bookmarkStart w:id="0" w:name="Purpose"/>
      <w:r w:rsidRPr="006F268C">
        <w:rPr>
          <w:b/>
          <w:bCs/>
        </w:rPr>
        <w:t>Purpose</w:t>
      </w:r>
      <w:bookmarkEnd w:id="0"/>
    </w:p>
    <w:p w14:paraId="6D462EAF" w14:textId="77777777" w:rsidR="000B7CFE" w:rsidRPr="006F268C" w:rsidRDefault="000B7CFE"/>
    <w:p w14:paraId="3879D8B3" w14:textId="77777777" w:rsidR="000B7CFE" w:rsidRPr="006F268C" w:rsidRDefault="000B7CFE" w:rsidP="008E68BB">
      <w:r w:rsidRPr="006F268C">
        <w:t xml:space="preserve">To assure knowledge and compliance by documenting the </w:t>
      </w:r>
      <w:r w:rsidR="00AC7E83">
        <w:t xml:space="preserve">annual administrative review and </w:t>
      </w:r>
      <w:r w:rsidRPr="006F268C">
        <w:t xml:space="preserve">continuing </w:t>
      </w:r>
      <w:r w:rsidR="00AC7E83">
        <w:t xml:space="preserve">IRB </w:t>
      </w:r>
      <w:r w:rsidRPr="006F268C">
        <w:t xml:space="preserve">review </w:t>
      </w:r>
      <w:r w:rsidR="00AC7E83">
        <w:t>of</w:t>
      </w:r>
      <w:r w:rsidRPr="006F268C">
        <w:t xml:space="preserve"> </w:t>
      </w:r>
      <w:r w:rsidR="00682A92">
        <w:t xml:space="preserve">non-exempt </w:t>
      </w:r>
      <w:r w:rsidRPr="006F268C">
        <w:t>projects for the IRB.</w:t>
      </w:r>
    </w:p>
    <w:p w14:paraId="357B1EE0" w14:textId="77777777" w:rsidR="000B7CFE" w:rsidRPr="006F268C" w:rsidRDefault="000B7CFE"/>
    <w:p w14:paraId="4F5C34AA" w14:textId="77777777" w:rsidR="000B7CFE" w:rsidRPr="006F268C" w:rsidRDefault="000B7CFE">
      <w:pPr>
        <w:numPr>
          <w:ilvl w:val="0"/>
          <w:numId w:val="2"/>
        </w:numPr>
      </w:pPr>
      <w:bookmarkStart w:id="1" w:name="Scote"/>
      <w:bookmarkStart w:id="2" w:name="Scope"/>
      <w:r w:rsidRPr="006F268C">
        <w:rPr>
          <w:b/>
          <w:bCs/>
        </w:rPr>
        <w:t>Scope</w:t>
      </w:r>
      <w:bookmarkEnd w:id="1"/>
      <w:bookmarkEnd w:id="2"/>
    </w:p>
    <w:p w14:paraId="1F5D4DEE" w14:textId="77777777" w:rsidR="000B7CFE" w:rsidRPr="006F268C" w:rsidRDefault="000B7CFE"/>
    <w:p w14:paraId="598353B7" w14:textId="77777777" w:rsidR="000B7CFE" w:rsidRPr="006F268C" w:rsidRDefault="000B7CFE" w:rsidP="008E68BB">
      <w:r w:rsidRPr="006F268C">
        <w:t>The SOP applies to all human subject research falling under the purview of the</w:t>
      </w:r>
      <w:r w:rsidR="002D7721" w:rsidRPr="006F268C">
        <w:t xml:space="preserve"> University of Missouri</w:t>
      </w:r>
      <w:r w:rsidRPr="006F268C">
        <w:t xml:space="preserve"> Institutional Review Board.</w:t>
      </w:r>
    </w:p>
    <w:p w14:paraId="1E2F6C6C" w14:textId="77777777" w:rsidR="005A6EA6" w:rsidRPr="006F268C" w:rsidRDefault="005A6EA6"/>
    <w:p w14:paraId="1C5F3604" w14:textId="77777777" w:rsidR="000B7CFE" w:rsidRPr="00084BCC" w:rsidRDefault="000B7CFE">
      <w:pPr>
        <w:numPr>
          <w:ilvl w:val="0"/>
          <w:numId w:val="2"/>
        </w:numPr>
      </w:pPr>
      <w:bookmarkStart w:id="3" w:name="Policyprocedure"/>
      <w:r w:rsidRPr="006F268C">
        <w:rPr>
          <w:b/>
          <w:bCs/>
        </w:rPr>
        <w:t>Policy/Procedure</w:t>
      </w:r>
      <w:bookmarkEnd w:id="3"/>
    </w:p>
    <w:p w14:paraId="0BA7F592" w14:textId="77777777" w:rsidR="00293E1A" w:rsidRDefault="00293E1A" w:rsidP="00084BCC">
      <w:pPr>
        <w:rPr>
          <w:b/>
          <w:bCs/>
        </w:rPr>
      </w:pPr>
    </w:p>
    <w:p w14:paraId="4584ABC5" w14:textId="77777777" w:rsidR="00F4332F" w:rsidRPr="004511A2" w:rsidRDefault="00F4332F" w:rsidP="00084BCC">
      <w:pPr>
        <w:rPr>
          <w:b/>
          <w:bCs/>
          <w:u w:val="single"/>
        </w:rPr>
      </w:pPr>
      <w:r w:rsidRPr="004511A2">
        <w:rPr>
          <w:b/>
          <w:bCs/>
          <w:u w:val="single"/>
        </w:rPr>
        <w:t>Transition to the Revised Common Rule</w:t>
      </w:r>
    </w:p>
    <w:p w14:paraId="0DBE7438" w14:textId="77777777" w:rsidR="00F4332F" w:rsidRDefault="00F4332F" w:rsidP="00084BCC">
      <w:pPr>
        <w:rPr>
          <w:bCs/>
        </w:rPr>
      </w:pPr>
    </w:p>
    <w:p w14:paraId="5E7D3F0A" w14:textId="77777777" w:rsidR="00293E1A" w:rsidRDefault="00293E1A" w:rsidP="00084BCC">
      <w:pPr>
        <w:rPr>
          <w:bCs/>
        </w:rPr>
      </w:pPr>
      <w:r>
        <w:rPr>
          <w:bCs/>
        </w:rPr>
        <w:t xml:space="preserve">All research approved </w:t>
      </w:r>
      <w:r w:rsidR="008B59ED">
        <w:rPr>
          <w:bCs/>
        </w:rPr>
        <w:t>before</w:t>
      </w:r>
      <w:r>
        <w:rPr>
          <w:bCs/>
        </w:rPr>
        <w:t xml:space="preserve"> January 21, 2019 submitting for </w:t>
      </w:r>
      <w:r w:rsidR="009B1D62">
        <w:rPr>
          <w:bCs/>
        </w:rPr>
        <w:t>annual</w:t>
      </w:r>
      <w:r>
        <w:rPr>
          <w:bCs/>
        </w:rPr>
        <w:t xml:space="preserve"> review must comply with the revised IRB policies. Federally funded research, clinical trials, and greater than minimal risk studies that are still open to enrollment must </w:t>
      </w:r>
      <w:r w:rsidR="001E7770">
        <w:rPr>
          <w:bCs/>
        </w:rPr>
        <w:t xml:space="preserve">fully </w:t>
      </w:r>
      <w:r>
        <w:rPr>
          <w:bCs/>
        </w:rPr>
        <w:t xml:space="preserve">transition their study to the revised common rule at </w:t>
      </w:r>
      <w:r w:rsidR="00E12E5D">
        <w:rPr>
          <w:bCs/>
        </w:rPr>
        <w:t xml:space="preserve">the time of </w:t>
      </w:r>
      <w:r w:rsidR="009B1D62">
        <w:rPr>
          <w:bCs/>
        </w:rPr>
        <w:t>annual</w:t>
      </w:r>
      <w:r w:rsidR="00E12E5D">
        <w:rPr>
          <w:bCs/>
        </w:rPr>
        <w:t xml:space="preserve"> review</w:t>
      </w:r>
      <w:r>
        <w:rPr>
          <w:bCs/>
        </w:rPr>
        <w:t>. Required updated information/documents will be requested on the designated annual reporting form.</w:t>
      </w:r>
      <w:r w:rsidR="001A5320">
        <w:rPr>
          <w:bCs/>
        </w:rPr>
        <w:t xml:space="preserve"> See “Research Subject to the Revised Common Rule” SOP for additional information regarding transitioning of existing studies.</w:t>
      </w:r>
    </w:p>
    <w:p w14:paraId="05E85367" w14:textId="77777777" w:rsidR="001102C4" w:rsidRDefault="001102C4" w:rsidP="00084BCC">
      <w:pPr>
        <w:rPr>
          <w:bCs/>
        </w:rPr>
      </w:pPr>
    </w:p>
    <w:p w14:paraId="3CD4580E" w14:textId="77777777" w:rsidR="00FF41DB" w:rsidRDefault="00FF41DB" w:rsidP="00FF41DB">
      <w:pPr>
        <w:rPr>
          <w:b/>
          <w:u w:val="single"/>
        </w:rPr>
      </w:pPr>
      <w:r w:rsidRPr="006F268C">
        <w:rPr>
          <w:b/>
          <w:u w:val="single"/>
        </w:rPr>
        <w:t xml:space="preserve">Submission </w:t>
      </w:r>
      <w:r w:rsidR="001102C4">
        <w:rPr>
          <w:b/>
          <w:u w:val="single"/>
        </w:rPr>
        <w:t xml:space="preserve">Process and </w:t>
      </w:r>
      <w:r w:rsidRPr="006F268C">
        <w:rPr>
          <w:b/>
          <w:u w:val="single"/>
        </w:rPr>
        <w:t>Deadlines</w:t>
      </w:r>
    </w:p>
    <w:p w14:paraId="3942EF6C" w14:textId="77777777" w:rsidR="001102C4" w:rsidRDefault="001102C4" w:rsidP="00FF41DB">
      <w:pPr>
        <w:rPr>
          <w:b/>
          <w:u w:val="single"/>
        </w:rPr>
      </w:pPr>
    </w:p>
    <w:p w14:paraId="57E7D002" w14:textId="77777777" w:rsidR="00FF41DB" w:rsidRPr="000D66F0" w:rsidRDefault="001102C4" w:rsidP="00FF41DB">
      <w:pPr>
        <w:rPr>
          <w:bCs/>
        </w:rPr>
      </w:pPr>
      <w:r>
        <w:rPr>
          <w:bCs/>
        </w:rPr>
        <w:t xml:space="preserve">Investigators are required to submit the Annual Update Form prior to the project expiration date for review and approval. </w:t>
      </w:r>
      <w:r w:rsidR="00FF41DB" w:rsidRPr="006F268C">
        <w:t xml:space="preserve">Principal Investigators will be informed in the project approval letter of the review interval and the study expiration date.   It is the responsibility of the Principal Investigator to submit the </w:t>
      </w:r>
      <w:r w:rsidR="00FF41DB">
        <w:t>annual report</w:t>
      </w:r>
      <w:r w:rsidR="00FF41DB" w:rsidRPr="006F268C">
        <w:t xml:space="preserve"> even without notification from the IRB office.</w:t>
      </w:r>
    </w:p>
    <w:p w14:paraId="7323CB65" w14:textId="77777777" w:rsidR="00FF41DB" w:rsidRPr="006F268C" w:rsidRDefault="00FF41DB" w:rsidP="00FF41DB"/>
    <w:p w14:paraId="3F3EC665" w14:textId="77777777" w:rsidR="00FF41DB" w:rsidRDefault="00FF41DB" w:rsidP="00FF41DB">
      <w:r w:rsidRPr="006F268C">
        <w:t xml:space="preserve">The deadlines for </w:t>
      </w:r>
      <w:r>
        <w:t>annual</w:t>
      </w:r>
      <w:r w:rsidRPr="006F268C">
        <w:t xml:space="preserve"> review are on the </w:t>
      </w:r>
      <w:r>
        <w:t xml:space="preserve">HRPP </w:t>
      </w:r>
      <w:r w:rsidRPr="006F268C">
        <w:t>website</w:t>
      </w:r>
      <w:r>
        <w:t xml:space="preserve"> and noted within the reminder letters to investigators</w:t>
      </w:r>
      <w:r w:rsidRPr="006F268C">
        <w:t xml:space="preserve">. If the </w:t>
      </w:r>
      <w:r>
        <w:t>annual report</w:t>
      </w:r>
      <w:r w:rsidRPr="006F268C">
        <w:t xml:space="preserve"> has not been submitted by the due date</w:t>
      </w:r>
      <w:r>
        <w:t>,</w:t>
      </w:r>
      <w:r w:rsidRPr="006F268C">
        <w:t xml:space="preserve"> it may not be able to be reviewed and may expire on its expiration date</w:t>
      </w:r>
      <w:r>
        <w:t>.</w:t>
      </w:r>
      <w:r w:rsidR="0086433D">
        <w:t xml:space="preserve"> </w:t>
      </w:r>
    </w:p>
    <w:p w14:paraId="664DEF53" w14:textId="77777777" w:rsidR="00FF41DB" w:rsidRDefault="00FF41DB" w:rsidP="00FF41DB"/>
    <w:p w14:paraId="56E32CCD" w14:textId="77777777" w:rsidR="00FF41DB" w:rsidRDefault="00FF41DB" w:rsidP="00FF41DB">
      <w:r>
        <w:t>If the annual review was submitted late or submitted on time, but the project cannot be re-approved by the expiration date due to time constraints (i.e. board meeting date or reviewer availability), the project status will automatically switch in eCompliance to “Closed – Annual Review Under Review” when the project expires. Investigators are not allowed to continue human subject research activities until the project is re-approved unless justification is provided by the investigator of what activities cannot cease during this time period</w:t>
      </w:r>
      <w:r w:rsidR="00273036">
        <w:t>,</w:t>
      </w:r>
      <w:r>
        <w:t xml:space="preserve"> and </w:t>
      </w:r>
      <w:r w:rsidR="00273036">
        <w:t>i</w:t>
      </w:r>
      <w:r w:rsidR="00273036" w:rsidRPr="00273036">
        <w:t>f the IRB finds an over-riding safety concern or ethical issue involved such that it is in best interest of the subject to continue in the research activities, the IRB may permit subjects to continue for the time required to complete the annual review process.</w:t>
      </w:r>
    </w:p>
    <w:p w14:paraId="643A92A8" w14:textId="77777777" w:rsidR="0086433D" w:rsidRDefault="0086433D" w:rsidP="00FF41DB"/>
    <w:p w14:paraId="36191D3C" w14:textId="77777777" w:rsidR="00B676FC" w:rsidRDefault="00B676FC" w:rsidP="00B676FC">
      <w:pPr>
        <w:rPr>
          <w:b/>
          <w:u w:val="single"/>
        </w:rPr>
      </w:pPr>
      <w:r w:rsidRPr="006F268C">
        <w:rPr>
          <w:b/>
          <w:u w:val="single"/>
        </w:rPr>
        <w:lastRenderedPageBreak/>
        <w:t xml:space="preserve">Processing and Review </w:t>
      </w:r>
    </w:p>
    <w:p w14:paraId="7C835757" w14:textId="77777777" w:rsidR="00B676FC" w:rsidRPr="006F268C" w:rsidRDefault="00B676FC" w:rsidP="00B676FC">
      <w:pPr>
        <w:rPr>
          <w:b/>
          <w:u w:val="single"/>
        </w:rPr>
      </w:pPr>
    </w:p>
    <w:p w14:paraId="55BAAEEC" w14:textId="77777777" w:rsidR="00B676FC" w:rsidRPr="006F268C" w:rsidRDefault="00B676FC" w:rsidP="00B676FC">
      <w:pPr>
        <w:numPr>
          <w:ilvl w:val="0"/>
          <w:numId w:val="26"/>
        </w:numPr>
      </w:pPr>
      <w:r w:rsidRPr="006F268C">
        <w:t xml:space="preserve">Once the </w:t>
      </w:r>
      <w:r>
        <w:t>annual report</w:t>
      </w:r>
      <w:r w:rsidRPr="006F268C">
        <w:t xml:space="preserve"> is generated in eCompliance, reminder notices are sent to the primary contact/pri</w:t>
      </w:r>
      <w:r w:rsidR="00837F63">
        <w:t>ncipal</w:t>
      </w:r>
      <w:r w:rsidRPr="006F268C">
        <w:t xml:space="preserve"> investigator. </w:t>
      </w:r>
    </w:p>
    <w:p w14:paraId="75D5798F" w14:textId="77777777" w:rsidR="00B676FC" w:rsidRPr="006F268C" w:rsidRDefault="00B676FC" w:rsidP="00B676FC">
      <w:pPr>
        <w:numPr>
          <w:ilvl w:val="0"/>
          <w:numId w:val="26"/>
        </w:numPr>
      </w:pPr>
      <w:r w:rsidRPr="006F268C">
        <w:t xml:space="preserve">The PI </w:t>
      </w:r>
      <w:r>
        <w:t xml:space="preserve">or research staff </w:t>
      </w:r>
      <w:r w:rsidRPr="006F268C">
        <w:t xml:space="preserve">must submit </w:t>
      </w:r>
      <w:r>
        <w:t>an annual report</w:t>
      </w:r>
      <w:r w:rsidRPr="006F268C">
        <w:t xml:space="preserve"> as long as the research:</w:t>
      </w:r>
    </w:p>
    <w:p w14:paraId="19A55D62" w14:textId="77777777" w:rsidR="00B676FC" w:rsidRPr="006F268C" w:rsidRDefault="00B676FC" w:rsidP="00B676FC">
      <w:pPr>
        <w:numPr>
          <w:ilvl w:val="0"/>
          <w:numId w:val="20"/>
        </w:numPr>
        <w:ind w:left="1800"/>
      </w:pPr>
      <w:r w:rsidRPr="006F268C">
        <w:t>Remains open to enrollment</w:t>
      </w:r>
    </w:p>
    <w:p w14:paraId="77FC4AF2" w14:textId="77777777" w:rsidR="00B676FC" w:rsidRDefault="00B676FC" w:rsidP="00B676FC">
      <w:pPr>
        <w:numPr>
          <w:ilvl w:val="0"/>
          <w:numId w:val="20"/>
        </w:numPr>
        <w:ind w:left="1800"/>
      </w:pPr>
      <w:r w:rsidRPr="006F268C">
        <w:t>Remains active for long term follow-up (even when the research is permanently closed to enrollment and all subjects have completed all research related interventions)</w:t>
      </w:r>
    </w:p>
    <w:p w14:paraId="24D417A8" w14:textId="77777777" w:rsidR="00B676FC" w:rsidRPr="006F268C" w:rsidRDefault="00B676FC" w:rsidP="00B676FC">
      <w:pPr>
        <w:numPr>
          <w:ilvl w:val="0"/>
          <w:numId w:val="20"/>
        </w:numPr>
        <w:ind w:left="1800"/>
      </w:pPr>
      <w:r>
        <w:t>Remains partially closed or temporarily closed</w:t>
      </w:r>
    </w:p>
    <w:p w14:paraId="779C57AD" w14:textId="77777777" w:rsidR="00B676FC" w:rsidRDefault="00B676FC" w:rsidP="00B676FC">
      <w:pPr>
        <w:numPr>
          <w:ilvl w:val="0"/>
          <w:numId w:val="20"/>
        </w:numPr>
        <w:ind w:left="1800"/>
      </w:pPr>
      <w:r w:rsidRPr="006F268C">
        <w:t>Requires data analysis</w:t>
      </w:r>
    </w:p>
    <w:p w14:paraId="43DC8B46" w14:textId="77777777" w:rsidR="00B676FC" w:rsidRPr="006F268C" w:rsidRDefault="00B676FC" w:rsidP="00B676FC">
      <w:pPr>
        <w:numPr>
          <w:ilvl w:val="1"/>
          <w:numId w:val="20"/>
        </w:numPr>
        <w:ind w:left="2250"/>
      </w:pPr>
      <w:r>
        <w:t>Projects may be closed when activities are limited to data analysis and all data have been completely de-identified.</w:t>
      </w:r>
    </w:p>
    <w:p w14:paraId="7ED7C6FB" w14:textId="77777777" w:rsidR="00B676FC" w:rsidRPr="006F268C" w:rsidRDefault="00B676FC" w:rsidP="00B676FC">
      <w:pPr>
        <w:numPr>
          <w:ilvl w:val="0"/>
          <w:numId w:val="26"/>
        </w:numPr>
      </w:pPr>
      <w:r w:rsidRPr="006F268C">
        <w:t xml:space="preserve">As each </w:t>
      </w:r>
      <w:r>
        <w:t>annual report</w:t>
      </w:r>
      <w:r w:rsidRPr="006F268C">
        <w:t xml:space="preserve"> is received, </w:t>
      </w:r>
      <w:r>
        <w:t>expedited and full board studies</w:t>
      </w:r>
      <w:r w:rsidRPr="006F268C">
        <w:t xml:space="preserve"> will be </w:t>
      </w:r>
      <w:r>
        <w:t>reviewed</w:t>
      </w:r>
      <w:r w:rsidRPr="006F268C">
        <w:t xml:space="preserve"> using </w:t>
      </w:r>
      <w:r>
        <w:t>a 30 day window in alignment with federal guidelines specific to the study type</w:t>
      </w:r>
      <w:r w:rsidRPr="006F268C">
        <w:t xml:space="preserve">.  </w:t>
      </w:r>
      <w:r>
        <w:t>Studies eligible for administrative review do not have to wait for the 30 day window to process the annual report.</w:t>
      </w:r>
    </w:p>
    <w:p w14:paraId="36F9811F" w14:textId="77777777" w:rsidR="00B676FC" w:rsidRPr="006F268C" w:rsidRDefault="00B676FC" w:rsidP="00B676FC">
      <w:pPr>
        <w:numPr>
          <w:ilvl w:val="0"/>
          <w:numId w:val="26"/>
        </w:numPr>
      </w:pPr>
      <w:r w:rsidRPr="006F268C">
        <w:t xml:space="preserve">The IRB office staff review each </w:t>
      </w:r>
      <w:r>
        <w:t>annual report</w:t>
      </w:r>
      <w:r w:rsidRPr="006F268C">
        <w:t xml:space="preserve"> for accuracy, completeness</w:t>
      </w:r>
      <w:r w:rsidR="00837F63">
        <w:t xml:space="preserve">, </w:t>
      </w:r>
      <w:r w:rsidRPr="006F268C">
        <w:t>and whether it qualifies for</w:t>
      </w:r>
      <w:r>
        <w:t xml:space="preserve"> administrative, expedited, or full board review. </w:t>
      </w:r>
      <w:r w:rsidRPr="006F268C">
        <w:t xml:space="preserve">Any questions or clarifications are handled via communication with the Principal Investigator or </w:t>
      </w:r>
      <w:r>
        <w:t>primary contact</w:t>
      </w:r>
      <w:r w:rsidR="00837F63">
        <w:t xml:space="preserve"> and documented in the timeline.</w:t>
      </w:r>
    </w:p>
    <w:p w14:paraId="1CDB5882" w14:textId="77777777" w:rsidR="00B676FC" w:rsidRPr="006F268C" w:rsidRDefault="00B676FC" w:rsidP="00B676FC">
      <w:pPr>
        <w:numPr>
          <w:ilvl w:val="0"/>
          <w:numId w:val="26"/>
        </w:numPr>
      </w:pPr>
      <w:r w:rsidRPr="006F268C">
        <w:t>A primary reviewer is assigned for each review</w:t>
      </w:r>
      <w:r>
        <w:t xml:space="preserve"> unless the review can be done administratively.</w:t>
      </w:r>
      <w:r w:rsidRPr="006F268C">
        <w:t xml:space="preserve">  The IRB staff will ensure the primary reviewer has the appropriate expertise.</w:t>
      </w:r>
    </w:p>
    <w:p w14:paraId="25DF2954" w14:textId="77777777" w:rsidR="00B676FC" w:rsidRPr="006F268C" w:rsidRDefault="00B676FC" w:rsidP="00B676FC">
      <w:pPr>
        <w:numPr>
          <w:ilvl w:val="0"/>
          <w:numId w:val="26"/>
        </w:numPr>
      </w:pPr>
      <w:r w:rsidRPr="006F268C">
        <w:t xml:space="preserve">All reviewers have access to the complete </w:t>
      </w:r>
      <w:r>
        <w:t>annual report</w:t>
      </w:r>
      <w:r w:rsidRPr="006F268C">
        <w:t xml:space="preserve"> along with the associated attachments</w:t>
      </w:r>
      <w:r>
        <w:t>, if any.</w:t>
      </w:r>
    </w:p>
    <w:p w14:paraId="7D413488" w14:textId="77777777" w:rsidR="00B676FC" w:rsidRPr="006F268C" w:rsidRDefault="00B676FC" w:rsidP="00B676FC">
      <w:pPr>
        <w:numPr>
          <w:ilvl w:val="0"/>
          <w:numId w:val="26"/>
        </w:numPr>
      </w:pPr>
      <w:r>
        <w:t>If expedited or full board review is required, t</w:t>
      </w:r>
      <w:r w:rsidRPr="006F268C">
        <w:t>he IRB will determine</w:t>
      </w:r>
      <w:r>
        <w:t xml:space="preserve"> the study continues to satisfy the criteria set forth by </w:t>
      </w:r>
      <w:r w:rsidRPr="006F268C">
        <w:t>45 CFR 46.111, 21 CFR 56.111 and 38 CFR 16.111.</w:t>
      </w:r>
      <w:r>
        <w:t xml:space="preserve"> </w:t>
      </w:r>
      <w:r w:rsidRPr="006F268C">
        <w:t>Subjects will be informed if there are any significant new findings that may relate to the subject's willingness to continue to participate in accordance with HHS regulations at 45 CFR 46.116(b)(5)</w:t>
      </w:r>
    </w:p>
    <w:p w14:paraId="49894E60" w14:textId="77777777" w:rsidR="00B676FC" w:rsidRPr="006F268C" w:rsidRDefault="00B676FC" w:rsidP="00B676FC">
      <w:pPr>
        <w:numPr>
          <w:ilvl w:val="0"/>
          <w:numId w:val="26"/>
        </w:numPr>
      </w:pPr>
      <w:r w:rsidRPr="006F268C">
        <w:t>The reviewer will perform an in-depth review documenting the information on reviewer checklist. Reviewers are required to ensure that the submitted information is accurate and complete.</w:t>
      </w:r>
    </w:p>
    <w:p w14:paraId="33909437" w14:textId="77777777" w:rsidR="00B676FC" w:rsidRPr="006F268C" w:rsidRDefault="00B676FC" w:rsidP="00B676FC">
      <w:pPr>
        <w:numPr>
          <w:ilvl w:val="0"/>
          <w:numId w:val="26"/>
        </w:numPr>
      </w:pPr>
      <w:r w:rsidRPr="006F268C">
        <w:t xml:space="preserve">If any of the following are true, the IRB </w:t>
      </w:r>
      <w:r>
        <w:t>may</w:t>
      </w:r>
      <w:r w:rsidRPr="006F268C">
        <w:t xml:space="preserve"> </w:t>
      </w:r>
      <w:r>
        <w:t>need</w:t>
      </w:r>
      <w:r w:rsidRPr="006F268C">
        <w:t xml:space="preserve"> verification from sources other than the investigator that no material changes have occurred since the previous IRB review:</w:t>
      </w:r>
    </w:p>
    <w:p w14:paraId="4C92C591" w14:textId="77777777" w:rsidR="00B676FC" w:rsidRPr="006F268C" w:rsidRDefault="00B676FC" w:rsidP="00B676FC">
      <w:pPr>
        <w:numPr>
          <w:ilvl w:val="0"/>
          <w:numId w:val="24"/>
        </w:numPr>
        <w:autoSpaceDE w:val="0"/>
        <w:autoSpaceDN w:val="0"/>
        <w:adjustRightInd w:val="0"/>
        <w:ind w:left="1800"/>
      </w:pPr>
      <w:r w:rsidRPr="006F268C">
        <w:t>The investigator has a history of serious or continuing non-compliance related to continuing review in the past three years.</w:t>
      </w:r>
    </w:p>
    <w:p w14:paraId="35B21F5F" w14:textId="77777777" w:rsidR="00B676FC" w:rsidRPr="006F268C" w:rsidRDefault="00B676FC" w:rsidP="00B676FC">
      <w:pPr>
        <w:numPr>
          <w:ilvl w:val="0"/>
          <w:numId w:val="24"/>
        </w:numPr>
        <w:autoSpaceDE w:val="0"/>
        <w:autoSpaceDN w:val="0"/>
        <w:adjustRightInd w:val="0"/>
        <w:ind w:left="1800"/>
      </w:pPr>
      <w:r w:rsidRPr="006F268C">
        <w:t>The IRB has reasons to doubt the veracity of the information provided by the investigator.</w:t>
      </w:r>
    </w:p>
    <w:p w14:paraId="0D6A553C" w14:textId="77777777" w:rsidR="00B676FC" w:rsidRPr="006F268C" w:rsidRDefault="00B676FC" w:rsidP="00B676FC">
      <w:pPr>
        <w:numPr>
          <w:ilvl w:val="0"/>
          <w:numId w:val="24"/>
        </w:numPr>
        <w:autoSpaceDE w:val="0"/>
        <w:autoSpaceDN w:val="0"/>
        <w:adjustRightInd w:val="0"/>
        <w:ind w:left="1800"/>
      </w:pPr>
      <w:r w:rsidRPr="006F268C">
        <w:t>The information provided by the investigator is inconsistent with other information known to the IRB and the inconsistency cannot be resolved through communication with the investigator.</w:t>
      </w:r>
    </w:p>
    <w:p w14:paraId="43548A7B" w14:textId="77777777" w:rsidR="00B676FC" w:rsidRDefault="00B676FC" w:rsidP="00B676FC">
      <w:pPr>
        <w:numPr>
          <w:ilvl w:val="0"/>
          <w:numId w:val="24"/>
        </w:numPr>
        <w:autoSpaceDE w:val="0"/>
        <w:autoSpaceDN w:val="0"/>
        <w:adjustRightInd w:val="0"/>
        <w:ind w:left="1800"/>
      </w:pPr>
      <w:r w:rsidRPr="006F268C">
        <w:t>Any other reason where the IRB believes that verification should be required.</w:t>
      </w:r>
    </w:p>
    <w:p w14:paraId="1D51668E" w14:textId="77777777" w:rsidR="00B676FC" w:rsidRPr="006F268C" w:rsidRDefault="00B676FC" w:rsidP="004511A2">
      <w:pPr>
        <w:autoSpaceDE w:val="0"/>
        <w:autoSpaceDN w:val="0"/>
        <w:adjustRightInd w:val="0"/>
        <w:ind w:left="1800"/>
      </w:pPr>
    </w:p>
    <w:p w14:paraId="734719C6" w14:textId="77777777" w:rsidR="006C5D4B" w:rsidRDefault="006C5D4B" w:rsidP="00557879">
      <w:pPr>
        <w:jc w:val="both"/>
        <w:rPr>
          <w:b/>
          <w:u w:val="single"/>
        </w:rPr>
      </w:pPr>
    </w:p>
    <w:p w14:paraId="56D80F34" w14:textId="1673CB33" w:rsidR="00557879" w:rsidRDefault="00557879" w:rsidP="00557879">
      <w:pPr>
        <w:jc w:val="both"/>
        <w:rPr>
          <w:b/>
          <w:u w:val="single"/>
        </w:rPr>
      </w:pPr>
      <w:r>
        <w:rPr>
          <w:b/>
          <w:u w:val="single"/>
        </w:rPr>
        <w:lastRenderedPageBreak/>
        <w:t>Review Levels</w:t>
      </w:r>
    </w:p>
    <w:p w14:paraId="39CC31E1" w14:textId="77777777" w:rsidR="00557879" w:rsidRDefault="00557879" w:rsidP="00557879">
      <w:pPr>
        <w:pStyle w:val="BodyTextIndent"/>
        <w:ind w:left="0"/>
        <w:rPr>
          <w:sz w:val="24"/>
        </w:rPr>
      </w:pPr>
    </w:p>
    <w:p w14:paraId="69A26578" w14:textId="77777777" w:rsidR="00557879" w:rsidRDefault="00557879" w:rsidP="00557879">
      <w:pPr>
        <w:pStyle w:val="BodyTextIndent"/>
        <w:ind w:left="0"/>
        <w:rPr>
          <w:sz w:val="24"/>
        </w:rPr>
      </w:pPr>
      <w:r>
        <w:rPr>
          <w:sz w:val="24"/>
        </w:rPr>
        <w:t>For studies requiring expedited or full board continuing review, t</w:t>
      </w:r>
      <w:r w:rsidRPr="006F268C">
        <w:rPr>
          <w:sz w:val="24"/>
        </w:rPr>
        <w:t xml:space="preserve">he IRB conducts substantive and meaningful continuing review at intervals appropriate for the degree of risk </w:t>
      </w:r>
      <w:r>
        <w:rPr>
          <w:sz w:val="24"/>
        </w:rPr>
        <w:t>not less than</w:t>
      </w:r>
      <w:r w:rsidRPr="006F268C">
        <w:rPr>
          <w:sz w:val="24"/>
        </w:rPr>
        <w:t xml:space="preserve"> once per year.  The research protocol must satisfy the criteria set forth by 45 CFR 46.111, 21 CFR 56.111 and 38 CFR 16.111 to be approved for continuation.  The research cannot </w:t>
      </w:r>
      <w:r>
        <w:rPr>
          <w:sz w:val="24"/>
        </w:rPr>
        <w:t>continue</w:t>
      </w:r>
      <w:r w:rsidRPr="006F268C">
        <w:rPr>
          <w:sz w:val="24"/>
        </w:rPr>
        <w:t xml:space="preserve"> after the expiration of IRB approval as specified by 45 CFR 46.103(a), 21 CFR 56.103(a) and 38 CFR 16.103(a). </w:t>
      </w:r>
    </w:p>
    <w:p w14:paraId="161B998B" w14:textId="77777777" w:rsidR="00557879" w:rsidRDefault="00557879" w:rsidP="00557879">
      <w:pPr>
        <w:pStyle w:val="BodyTextIndent"/>
        <w:ind w:left="0"/>
        <w:rPr>
          <w:sz w:val="24"/>
        </w:rPr>
      </w:pPr>
    </w:p>
    <w:p w14:paraId="3BDE2105" w14:textId="77777777" w:rsidR="00AC7E83" w:rsidRPr="00084BCC" w:rsidRDefault="00AC7E83" w:rsidP="008E68BB">
      <w:pPr>
        <w:pStyle w:val="BodyTextIndent"/>
        <w:ind w:left="0"/>
        <w:rPr>
          <w:b/>
          <w:sz w:val="24"/>
          <w:u w:val="single"/>
        </w:rPr>
      </w:pPr>
      <w:r w:rsidRPr="00084BCC">
        <w:rPr>
          <w:b/>
          <w:sz w:val="24"/>
          <w:u w:val="single"/>
        </w:rPr>
        <w:t xml:space="preserve">Research Eligible for Expedited </w:t>
      </w:r>
      <w:r w:rsidR="00072DA2">
        <w:rPr>
          <w:b/>
          <w:sz w:val="24"/>
          <w:u w:val="single"/>
        </w:rPr>
        <w:t xml:space="preserve">IRB </w:t>
      </w:r>
      <w:r w:rsidRPr="00084BCC">
        <w:rPr>
          <w:b/>
          <w:sz w:val="24"/>
          <w:u w:val="single"/>
        </w:rPr>
        <w:t xml:space="preserve">Review </w:t>
      </w:r>
    </w:p>
    <w:p w14:paraId="53A58725" w14:textId="77777777" w:rsidR="00AC7E83" w:rsidRDefault="00AC7E83" w:rsidP="008E68BB">
      <w:pPr>
        <w:pStyle w:val="BodyTextIndent"/>
        <w:ind w:left="0"/>
        <w:rPr>
          <w:sz w:val="24"/>
        </w:rPr>
      </w:pPr>
    </w:p>
    <w:p w14:paraId="103E777A" w14:textId="77777777" w:rsidR="00304069" w:rsidRDefault="00AC7E83" w:rsidP="00084BCC">
      <w:pPr>
        <w:pStyle w:val="BodyTextIndent"/>
        <w:numPr>
          <w:ilvl w:val="0"/>
          <w:numId w:val="31"/>
        </w:numPr>
        <w:rPr>
          <w:sz w:val="24"/>
        </w:rPr>
      </w:pPr>
      <w:r>
        <w:rPr>
          <w:sz w:val="24"/>
        </w:rPr>
        <w:t>DHHS regulations no longer require continuing review</w:t>
      </w:r>
      <w:r w:rsidR="000F4A7C">
        <w:rPr>
          <w:sz w:val="24"/>
        </w:rPr>
        <w:t xml:space="preserve"> for research eligible for expedited review</w:t>
      </w:r>
      <w:r w:rsidR="00304069">
        <w:rPr>
          <w:sz w:val="24"/>
        </w:rPr>
        <w:t xml:space="preserve">; however, the MU IRB will require an annual check-in with basic project updates to ensure reportable items are being reported as required. </w:t>
      </w:r>
    </w:p>
    <w:p w14:paraId="477A3F6A" w14:textId="77777777" w:rsidR="00557879" w:rsidRDefault="00304069" w:rsidP="00084BCC">
      <w:pPr>
        <w:pStyle w:val="BodyTextIndent"/>
        <w:numPr>
          <w:ilvl w:val="1"/>
          <w:numId w:val="31"/>
        </w:numPr>
        <w:rPr>
          <w:sz w:val="24"/>
        </w:rPr>
      </w:pPr>
      <w:r>
        <w:rPr>
          <w:sz w:val="24"/>
        </w:rPr>
        <w:t>These will be reviewed administratively unless the study must be updated to comply with IRB revised policies</w:t>
      </w:r>
      <w:r w:rsidR="00923D2D">
        <w:rPr>
          <w:sz w:val="24"/>
        </w:rPr>
        <w:t>, then</w:t>
      </w:r>
      <w:r>
        <w:rPr>
          <w:sz w:val="24"/>
        </w:rPr>
        <w:t xml:space="preserve"> an IRB</w:t>
      </w:r>
      <w:r w:rsidR="00923D2D">
        <w:rPr>
          <w:sz w:val="24"/>
        </w:rPr>
        <w:t xml:space="preserve"> chair or IRB member designee will be</w:t>
      </w:r>
      <w:r>
        <w:rPr>
          <w:sz w:val="24"/>
        </w:rPr>
        <w:t xml:space="preserve"> required to approve the changes.</w:t>
      </w:r>
    </w:p>
    <w:p w14:paraId="37DF92E9" w14:textId="77777777" w:rsidR="00557879" w:rsidRPr="00CD3C17" w:rsidRDefault="00AC7E83" w:rsidP="004511A2">
      <w:pPr>
        <w:pStyle w:val="BodyTextIndent"/>
        <w:numPr>
          <w:ilvl w:val="0"/>
          <w:numId w:val="31"/>
        </w:numPr>
      </w:pPr>
      <w:r>
        <w:rPr>
          <w:sz w:val="24"/>
        </w:rPr>
        <w:t>FDA</w:t>
      </w:r>
      <w:r w:rsidR="001E7770">
        <w:rPr>
          <w:sz w:val="24"/>
        </w:rPr>
        <w:t>, Department of Justice, and Consumer Product Safety Commission</w:t>
      </w:r>
      <w:r>
        <w:rPr>
          <w:sz w:val="24"/>
        </w:rPr>
        <w:t xml:space="preserve"> regulations </w:t>
      </w:r>
      <w:r w:rsidR="003A154C">
        <w:rPr>
          <w:sz w:val="24"/>
        </w:rPr>
        <w:t xml:space="preserve">still </w:t>
      </w:r>
      <w:r>
        <w:rPr>
          <w:sz w:val="24"/>
        </w:rPr>
        <w:t>require continuing review at intervals appropriate for the degree of risk not less than once per year.</w:t>
      </w:r>
      <w:r w:rsidR="00304069">
        <w:rPr>
          <w:sz w:val="24"/>
        </w:rPr>
        <w:t xml:space="preserve"> The MU IRB will </w:t>
      </w:r>
      <w:r w:rsidR="00304069" w:rsidRPr="004511A2">
        <w:rPr>
          <w:sz w:val="24"/>
        </w:rPr>
        <w:t>follow the expedited review process noted below.</w:t>
      </w:r>
      <w:r w:rsidR="00557879" w:rsidRPr="004511A2">
        <w:rPr>
          <w:sz w:val="24"/>
        </w:rPr>
        <w:t xml:space="preserve"> Administrative reviews are not allowed.</w:t>
      </w:r>
    </w:p>
    <w:p w14:paraId="1713C07A" w14:textId="77777777" w:rsidR="00557879" w:rsidRPr="006F268C" w:rsidRDefault="00557879" w:rsidP="004511A2">
      <w:pPr>
        <w:numPr>
          <w:ilvl w:val="1"/>
          <w:numId w:val="31"/>
        </w:numPr>
        <w:spacing w:before="100" w:beforeAutospacing="1" w:after="100" w:afterAutospacing="1"/>
        <w:rPr>
          <w:strike/>
        </w:rPr>
      </w:pPr>
      <w:r>
        <w:t>The study must i</w:t>
      </w:r>
      <w:r w:rsidRPr="006F268C">
        <w:t>nvolve only procedures described in one or more of the nine published categories of expedited research activities</w:t>
      </w:r>
      <w:r w:rsidR="00E86688">
        <w:t>; and</w:t>
      </w:r>
    </w:p>
    <w:p w14:paraId="6BCBB4E6" w14:textId="77777777" w:rsidR="00E86688" w:rsidRDefault="00557879" w:rsidP="004511A2">
      <w:pPr>
        <w:numPr>
          <w:ilvl w:val="1"/>
          <w:numId w:val="31"/>
        </w:numPr>
        <w:spacing w:before="100" w:beforeAutospacing="1" w:after="100" w:afterAutospacing="1"/>
        <w:rPr>
          <w:strike/>
        </w:rPr>
      </w:pPr>
      <w:r>
        <w:t xml:space="preserve">The study must </w:t>
      </w:r>
      <w:r w:rsidRPr="006F268C">
        <w:t>involve no more than minimal risk to the subjects (45 CFR 46.110(b)).</w:t>
      </w:r>
    </w:p>
    <w:p w14:paraId="00E7DEAF" w14:textId="77777777" w:rsidR="00557879" w:rsidRPr="004511A2" w:rsidRDefault="00557879" w:rsidP="004511A2">
      <w:pPr>
        <w:numPr>
          <w:ilvl w:val="1"/>
          <w:numId w:val="31"/>
        </w:numPr>
        <w:spacing w:before="100" w:beforeAutospacing="1" w:after="100" w:afterAutospacing="1"/>
        <w:rPr>
          <w:strike/>
        </w:rPr>
      </w:pPr>
      <w:r w:rsidRPr="006F268C">
        <w:t xml:space="preserve">The primary reviewer may determine that the </w:t>
      </w:r>
      <w:r>
        <w:t>annual review</w:t>
      </w:r>
      <w:r w:rsidRPr="006F268C">
        <w:t xml:space="preserve"> does not qualify for expedited review and must be reviewed by the convened Board. If the reviewer determines the continuing review cannot be approved by expedited procedures, the study will be put on the next full board meeting agenda. The investigator will be notified in writing</w:t>
      </w:r>
      <w:r>
        <w:t>, and documentation must be placed in the minutes why the study cannot be approved expedited.</w:t>
      </w:r>
    </w:p>
    <w:p w14:paraId="5A568E41" w14:textId="77777777" w:rsidR="00AC7E83" w:rsidRPr="00084BCC" w:rsidRDefault="00AC7E83" w:rsidP="008E68BB">
      <w:pPr>
        <w:pStyle w:val="BodyTextIndent"/>
        <w:ind w:left="0"/>
        <w:rPr>
          <w:b/>
          <w:sz w:val="24"/>
          <w:u w:val="single"/>
        </w:rPr>
      </w:pPr>
      <w:r w:rsidRPr="00084BCC">
        <w:rPr>
          <w:b/>
          <w:sz w:val="24"/>
          <w:u w:val="single"/>
        </w:rPr>
        <w:t xml:space="preserve">Research Initially Reviewed by the Full Board </w:t>
      </w:r>
    </w:p>
    <w:p w14:paraId="459C33AC" w14:textId="77777777" w:rsidR="00AC7E83" w:rsidRDefault="00AC7E83" w:rsidP="008E68BB">
      <w:pPr>
        <w:pStyle w:val="BodyTextIndent"/>
        <w:ind w:left="0"/>
        <w:rPr>
          <w:sz w:val="24"/>
        </w:rPr>
      </w:pPr>
    </w:p>
    <w:p w14:paraId="14772D8C" w14:textId="77777777" w:rsidR="00AC7E83" w:rsidRDefault="00AC7E83" w:rsidP="00084BCC">
      <w:pPr>
        <w:pStyle w:val="BodyTextIndent"/>
        <w:numPr>
          <w:ilvl w:val="0"/>
          <w:numId w:val="32"/>
        </w:numPr>
        <w:rPr>
          <w:sz w:val="24"/>
        </w:rPr>
      </w:pPr>
      <w:r>
        <w:rPr>
          <w:sz w:val="24"/>
        </w:rPr>
        <w:t xml:space="preserve">DHHS regulations no longer require continuing review if the research </w:t>
      </w:r>
      <w:r w:rsidR="005415E7">
        <w:rPr>
          <w:sz w:val="24"/>
        </w:rPr>
        <w:t>h</w:t>
      </w:r>
      <w:r>
        <w:rPr>
          <w:sz w:val="24"/>
        </w:rPr>
        <w:t>as progressed to the point that it involves only one or both of the following, which are part of the IRB approved study:</w:t>
      </w:r>
    </w:p>
    <w:p w14:paraId="3B1B0217" w14:textId="77777777" w:rsidR="00017CF0" w:rsidRDefault="00017CF0" w:rsidP="004511A2">
      <w:pPr>
        <w:pStyle w:val="BodyTextIndent"/>
        <w:ind w:left="720"/>
        <w:rPr>
          <w:sz w:val="24"/>
        </w:rPr>
      </w:pPr>
    </w:p>
    <w:p w14:paraId="162C08F8" w14:textId="77777777" w:rsidR="00AC7E83" w:rsidRDefault="00AC7E83" w:rsidP="00084BCC">
      <w:pPr>
        <w:pStyle w:val="BodyTextIndent"/>
        <w:numPr>
          <w:ilvl w:val="1"/>
          <w:numId w:val="32"/>
        </w:numPr>
        <w:rPr>
          <w:sz w:val="24"/>
        </w:rPr>
      </w:pPr>
      <w:r>
        <w:rPr>
          <w:sz w:val="24"/>
        </w:rPr>
        <w:t>Data analysis, including analysis of identifiable private information or identifiable biospecimens, or</w:t>
      </w:r>
    </w:p>
    <w:p w14:paraId="3260D90D" w14:textId="77777777" w:rsidR="00AC7E83" w:rsidRDefault="00AC7E83" w:rsidP="00084BCC">
      <w:pPr>
        <w:pStyle w:val="BodyTextIndent"/>
        <w:numPr>
          <w:ilvl w:val="1"/>
          <w:numId w:val="32"/>
        </w:numPr>
        <w:rPr>
          <w:sz w:val="24"/>
        </w:rPr>
      </w:pPr>
      <w:r>
        <w:rPr>
          <w:sz w:val="24"/>
        </w:rPr>
        <w:t>Accessing follow-up clinical data from procedures that subjects would undergo as part of clinical care.</w:t>
      </w:r>
    </w:p>
    <w:p w14:paraId="4873A216" w14:textId="77777777" w:rsidR="00304069" w:rsidRDefault="00304069" w:rsidP="008B59ED">
      <w:pPr>
        <w:pStyle w:val="BodyTextIndent"/>
        <w:ind w:left="0"/>
        <w:rPr>
          <w:sz w:val="24"/>
        </w:rPr>
      </w:pPr>
    </w:p>
    <w:p w14:paraId="171E0215" w14:textId="77777777" w:rsidR="00304069" w:rsidRDefault="00304069" w:rsidP="00084BCC">
      <w:pPr>
        <w:pStyle w:val="BodyTextIndent"/>
        <w:ind w:left="720"/>
        <w:rPr>
          <w:sz w:val="24"/>
        </w:rPr>
      </w:pPr>
      <w:r>
        <w:rPr>
          <w:sz w:val="24"/>
        </w:rPr>
        <w:t xml:space="preserve">The MU IRB will require an annual check-in with basic project updates to ensure reportable items are being reported as required. </w:t>
      </w:r>
    </w:p>
    <w:p w14:paraId="75429C2B" w14:textId="77777777" w:rsidR="00017CF0" w:rsidRDefault="00017CF0" w:rsidP="00084BCC">
      <w:pPr>
        <w:pStyle w:val="BodyTextIndent"/>
        <w:ind w:left="720"/>
        <w:rPr>
          <w:sz w:val="24"/>
        </w:rPr>
      </w:pPr>
    </w:p>
    <w:p w14:paraId="176E14D6" w14:textId="77777777" w:rsidR="00304069" w:rsidRDefault="00304069" w:rsidP="004511A2">
      <w:pPr>
        <w:pStyle w:val="BodyTextIndent"/>
        <w:numPr>
          <w:ilvl w:val="0"/>
          <w:numId w:val="33"/>
        </w:numPr>
        <w:rPr>
          <w:sz w:val="24"/>
        </w:rPr>
      </w:pPr>
      <w:r>
        <w:rPr>
          <w:sz w:val="24"/>
        </w:rPr>
        <w:lastRenderedPageBreak/>
        <w:t>These will be reviewed administratively unless the study must be updated to comply with IRB revised policies</w:t>
      </w:r>
      <w:r w:rsidR="009D2540">
        <w:rPr>
          <w:sz w:val="24"/>
        </w:rPr>
        <w:t xml:space="preserve">, then </w:t>
      </w:r>
      <w:r>
        <w:rPr>
          <w:sz w:val="24"/>
        </w:rPr>
        <w:t>an IRB</w:t>
      </w:r>
      <w:r w:rsidR="009D2540">
        <w:rPr>
          <w:sz w:val="24"/>
        </w:rPr>
        <w:t xml:space="preserve"> chair or IRB member designee will be</w:t>
      </w:r>
      <w:r>
        <w:rPr>
          <w:sz w:val="24"/>
        </w:rPr>
        <w:t xml:space="preserve"> required to approve the changes.</w:t>
      </w:r>
    </w:p>
    <w:p w14:paraId="752208EA" w14:textId="77777777" w:rsidR="00833455" w:rsidRDefault="00833455" w:rsidP="00084BCC">
      <w:pPr>
        <w:pStyle w:val="BodyTextIndent"/>
        <w:ind w:left="0"/>
        <w:rPr>
          <w:sz w:val="24"/>
        </w:rPr>
      </w:pPr>
    </w:p>
    <w:p w14:paraId="35BCFB89" w14:textId="77777777" w:rsidR="00833455" w:rsidRDefault="00833455" w:rsidP="00084BCC">
      <w:pPr>
        <w:pStyle w:val="BodyTextIndent"/>
        <w:ind w:left="720"/>
        <w:rPr>
          <w:sz w:val="24"/>
        </w:rPr>
      </w:pPr>
      <w:r>
        <w:rPr>
          <w:sz w:val="24"/>
        </w:rPr>
        <w:t>DHHS requires full board review for studies not falling under the criteria listed under #1(a) or (b).</w:t>
      </w:r>
      <w:r w:rsidR="00293E1A">
        <w:rPr>
          <w:sz w:val="24"/>
        </w:rPr>
        <w:t xml:space="preserve"> These studies will follow the full board</w:t>
      </w:r>
      <w:r w:rsidR="006644DA">
        <w:rPr>
          <w:sz w:val="24"/>
        </w:rPr>
        <w:t xml:space="preserve"> review process discussed below. The board may determine if a study was previously voted minimal risk and it fits expedited criteria, it may be transitioned to an expedited study in the future. Documentation will be placed in the minutes.</w:t>
      </w:r>
    </w:p>
    <w:p w14:paraId="2E0A7A6E" w14:textId="77777777" w:rsidR="00304069" w:rsidRDefault="00304069" w:rsidP="00084BCC">
      <w:pPr>
        <w:pStyle w:val="BodyTextIndent"/>
        <w:ind w:left="360"/>
        <w:rPr>
          <w:sz w:val="24"/>
        </w:rPr>
      </w:pPr>
    </w:p>
    <w:p w14:paraId="6307A89F" w14:textId="77777777" w:rsidR="00860643" w:rsidRDefault="001E7770" w:rsidP="00084BCC">
      <w:pPr>
        <w:pStyle w:val="BodyTextIndent"/>
        <w:numPr>
          <w:ilvl w:val="0"/>
          <w:numId w:val="32"/>
        </w:numPr>
        <w:rPr>
          <w:sz w:val="24"/>
        </w:rPr>
      </w:pPr>
      <w:r>
        <w:rPr>
          <w:sz w:val="24"/>
        </w:rPr>
        <w:t>FDA, Department of Justice, and Consumer Product Safety Commission</w:t>
      </w:r>
      <w:r w:rsidR="00860643">
        <w:rPr>
          <w:sz w:val="24"/>
        </w:rPr>
        <w:t xml:space="preserve"> regulations requiring continuing review either using the expedited procedure or full board procedure. Studies may be reviewed expedited when:</w:t>
      </w:r>
    </w:p>
    <w:p w14:paraId="37DCD3B9" w14:textId="77777777" w:rsidR="00557879" w:rsidRDefault="00557879" w:rsidP="004511A2">
      <w:pPr>
        <w:pStyle w:val="BodyTextIndent"/>
        <w:ind w:left="720"/>
        <w:rPr>
          <w:sz w:val="24"/>
        </w:rPr>
      </w:pPr>
    </w:p>
    <w:p w14:paraId="2DB332A1" w14:textId="77777777" w:rsidR="00860643" w:rsidRPr="00084BCC" w:rsidRDefault="00860643" w:rsidP="00084BCC">
      <w:pPr>
        <w:pStyle w:val="BodyTextIndent"/>
        <w:numPr>
          <w:ilvl w:val="1"/>
          <w:numId w:val="32"/>
        </w:numPr>
        <w:rPr>
          <w:sz w:val="24"/>
        </w:rPr>
      </w:pPr>
      <w:r w:rsidRPr="00084BCC">
        <w:rPr>
          <w:sz w:val="24"/>
        </w:rPr>
        <w:t>Continuing review of research previously approved by the convened IRB as follows:</w:t>
      </w:r>
    </w:p>
    <w:p w14:paraId="4EAA1CD5" w14:textId="77777777" w:rsidR="00860643" w:rsidRPr="006F268C" w:rsidRDefault="00860643" w:rsidP="00860643">
      <w:pPr>
        <w:pStyle w:val="BodyTextIndent2"/>
        <w:numPr>
          <w:ilvl w:val="1"/>
          <w:numId w:val="4"/>
        </w:numPr>
        <w:tabs>
          <w:tab w:val="clear" w:pos="3240"/>
          <w:tab w:val="num" w:pos="2160"/>
        </w:tabs>
        <w:ind w:left="2160"/>
        <w:rPr>
          <w:sz w:val="24"/>
        </w:rPr>
      </w:pPr>
      <w:r w:rsidRPr="006F268C">
        <w:rPr>
          <w:sz w:val="24"/>
        </w:rPr>
        <w:t xml:space="preserve">Where (i) the research is permanently closed to the enrollment of new subjects;  (ii) all subjects have completed all research-related interventions; and (iii) the research remains active only for long-term follow-up of subjects; </w:t>
      </w:r>
      <w:r w:rsidRPr="006F268C">
        <w:rPr>
          <w:sz w:val="24"/>
          <w:u w:val="single"/>
        </w:rPr>
        <w:t>or</w:t>
      </w:r>
    </w:p>
    <w:p w14:paraId="6F21091E" w14:textId="77777777" w:rsidR="00860643" w:rsidRPr="006F268C" w:rsidRDefault="00860643" w:rsidP="00860643">
      <w:pPr>
        <w:pStyle w:val="BodyTextIndent2"/>
        <w:numPr>
          <w:ilvl w:val="1"/>
          <w:numId w:val="4"/>
        </w:numPr>
        <w:tabs>
          <w:tab w:val="clear" w:pos="3240"/>
          <w:tab w:val="num" w:pos="2160"/>
        </w:tabs>
        <w:ind w:left="2160"/>
        <w:rPr>
          <w:sz w:val="24"/>
        </w:rPr>
      </w:pPr>
      <w:r w:rsidRPr="006F268C">
        <w:rPr>
          <w:sz w:val="24"/>
        </w:rPr>
        <w:t xml:space="preserve">Where no subjects have been enrolled and no additional risks have been identified; </w:t>
      </w:r>
      <w:r w:rsidRPr="006F268C">
        <w:rPr>
          <w:sz w:val="24"/>
          <w:u w:val="single"/>
        </w:rPr>
        <w:t>or</w:t>
      </w:r>
    </w:p>
    <w:p w14:paraId="6167B9C2" w14:textId="77777777" w:rsidR="00860643" w:rsidRDefault="00860643" w:rsidP="00084BCC">
      <w:pPr>
        <w:pStyle w:val="BodyTextIndent2"/>
        <w:numPr>
          <w:ilvl w:val="1"/>
          <w:numId w:val="4"/>
        </w:numPr>
        <w:tabs>
          <w:tab w:val="clear" w:pos="3240"/>
          <w:tab w:val="num" w:pos="2160"/>
        </w:tabs>
        <w:ind w:left="2160"/>
        <w:rPr>
          <w:sz w:val="24"/>
        </w:rPr>
      </w:pPr>
      <w:r w:rsidRPr="006F268C">
        <w:rPr>
          <w:sz w:val="24"/>
        </w:rPr>
        <w:t>Where the remaining research activities are limited to data analysis.</w:t>
      </w:r>
    </w:p>
    <w:p w14:paraId="634E3D0A" w14:textId="77777777" w:rsidR="00557879" w:rsidRDefault="00557879" w:rsidP="004511A2">
      <w:pPr>
        <w:pStyle w:val="BodyTextIndent2"/>
        <w:rPr>
          <w:sz w:val="24"/>
        </w:rPr>
      </w:pPr>
    </w:p>
    <w:p w14:paraId="4B88823F" w14:textId="77777777" w:rsidR="00860643" w:rsidRDefault="00860643" w:rsidP="00084BCC">
      <w:pPr>
        <w:pStyle w:val="BodyTextIndent2"/>
        <w:numPr>
          <w:ilvl w:val="1"/>
          <w:numId w:val="32"/>
        </w:numPr>
        <w:rPr>
          <w:sz w:val="24"/>
        </w:rPr>
      </w:pPr>
      <w:r w:rsidRPr="00084BCC">
        <w:rPr>
          <w:sz w:val="24"/>
        </w:rPr>
        <w:t>Continuing review of research, not conducted under an investigational new drug application or investigational device exemption where categories two (2) through (8) do not apply but the IRB has determined and documents at a convened meeting that the research involves no greater than minimal risk and no additional risks have been identified</w:t>
      </w:r>
    </w:p>
    <w:p w14:paraId="4EF98E04" w14:textId="77777777" w:rsidR="00557879" w:rsidRDefault="00557879" w:rsidP="00084BCC">
      <w:pPr>
        <w:pStyle w:val="BodyTextIndent"/>
        <w:ind w:left="720"/>
        <w:rPr>
          <w:sz w:val="24"/>
        </w:rPr>
      </w:pPr>
    </w:p>
    <w:p w14:paraId="56CA1534" w14:textId="77777777" w:rsidR="00D2070D" w:rsidRDefault="00D2070D" w:rsidP="00084BCC">
      <w:pPr>
        <w:pStyle w:val="BodyTextIndent"/>
        <w:ind w:left="720"/>
        <w:rPr>
          <w:sz w:val="24"/>
        </w:rPr>
      </w:pPr>
      <w:r>
        <w:rPr>
          <w:sz w:val="24"/>
        </w:rPr>
        <w:t>FDA, Department of Justice, and Consumer Product Safety Commission regulations requires full board review for studies not falling under the criteria listed under a or b above. The board may determine if a study was previously voted minimal risk and it fits expedited criteria, it may be transitioned to an expedited study in the future. Documentation will be placed in the minutes.</w:t>
      </w:r>
    </w:p>
    <w:p w14:paraId="219C5F5B" w14:textId="77777777" w:rsidR="00557879" w:rsidRDefault="00557879" w:rsidP="004511A2">
      <w:pPr>
        <w:pStyle w:val="BodyTextIndent"/>
        <w:ind w:left="0"/>
        <w:rPr>
          <w:sz w:val="24"/>
        </w:rPr>
      </w:pPr>
    </w:p>
    <w:p w14:paraId="0702FC61" w14:textId="77777777" w:rsidR="003952E1" w:rsidRPr="006F268C" w:rsidRDefault="00AB0B0B" w:rsidP="004511A2">
      <w:pPr>
        <w:ind w:left="720"/>
      </w:pPr>
      <w:bookmarkStart w:id="4" w:name="_Submission_Deadlines"/>
      <w:bookmarkStart w:id="5" w:name="_Processing_and_Review"/>
      <w:bookmarkEnd w:id="4"/>
      <w:bookmarkEnd w:id="5"/>
      <w:r w:rsidRPr="006F268C">
        <w:t xml:space="preserve">Board members receive the material at least five days prior to the meeting.  </w:t>
      </w:r>
      <w:r w:rsidR="00414D04" w:rsidRPr="006F268C">
        <w:t>All</w:t>
      </w:r>
      <w:r w:rsidR="003952E1" w:rsidRPr="006F268C">
        <w:t xml:space="preserve"> board members are expected to have a working knowledge of all submitted materials for the continuing review and be able to engage in a meaningful discussion of the project.</w:t>
      </w:r>
      <w:r w:rsidR="00D53D3A">
        <w:t xml:space="preserve"> The </w:t>
      </w:r>
      <w:r w:rsidR="00A334EE">
        <w:t xml:space="preserve">annual review </w:t>
      </w:r>
      <w:r w:rsidR="00D53D3A">
        <w:t>will comply with the full board review process outlined in the Initial Review SOP.</w:t>
      </w:r>
    </w:p>
    <w:p w14:paraId="1898D24F" w14:textId="77777777" w:rsidR="00CE7C2F" w:rsidRDefault="00CE7C2F" w:rsidP="0027786E">
      <w:pPr>
        <w:rPr>
          <w:b/>
          <w:u w:val="single"/>
        </w:rPr>
      </w:pPr>
      <w:bookmarkStart w:id="6" w:name="actions"/>
    </w:p>
    <w:p w14:paraId="39C8D599" w14:textId="77777777" w:rsidR="000B7CFE" w:rsidRDefault="000B7CFE" w:rsidP="0027786E">
      <w:pPr>
        <w:rPr>
          <w:b/>
          <w:u w:val="single"/>
        </w:rPr>
      </w:pPr>
      <w:r w:rsidRPr="006F268C">
        <w:rPr>
          <w:b/>
          <w:u w:val="single"/>
        </w:rPr>
        <w:t>Actions</w:t>
      </w:r>
      <w:r w:rsidR="003E4791" w:rsidRPr="006F268C">
        <w:rPr>
          <w:b/>
          <w:u w:val="single"/>
        </w:rPr>
        <w:t>/Approval</w:t>
      </w:r>
      <w:r w:rsidR="002E241F" w:rsidRPr="006F268C">
        <w:rPr>
          <w:b/>
          <w:u w:val="single"/>
        </w:rPr>
        <w:t xml:space="preserve"> </w:t>
      </w:r>
    </w:p>
    <w:p w14:paraId="68B7318F" w14:textId="77777777" w:rsidR="00BA3C9F" w:rsidRPr="006F268C" w:rsidRDefault="00BA3C9F" w:rsidP="0027786E">
      <w:pPr>
        <w:rPr>
          <w:b/>
          <w:u w:val="single"/>
        </w:rPr>
      </w:pPr>
    </w:p>
    <w:bookmarkEnd w:id="6"/>
    <w:p w14:paraId="56F53921" w14:textId="77777777" w:rsidR="005504F0" w:rsidRPr="006F268C" w:rsidRDefault="004D7032" w:rsidP="005504F0">
      <w:r w:rsidRPr="006F268C">
        <w:t>If no issues are raised</w:t>
      </w:r>
      <w:r w:rsidR="007224D3" w:rsidRPr="006F268C">
        <w:t>,</w:t>
      </w:r>
      <w:r w:rsidRPr="006F268C">
        <w:t xml:space="preserve"> the project will be approved to continue for another year (or whatever</w:t>
      </w:r>
      <w:r w:rsidR="00E56305" w:rsidRPr="006F268C">
        <w:t xml:space="preserve"> interval the board determines</w:t>
      </w:r>
      <w:r w:rsidRPr="006F268C">
        <w:t xml:space="preserve">). </w:t>
      </w:r>
      <w:r w:rsidR="005504F0" w:rsidRPr="006F268C">
        <w:t xml:space="preserve"> When the </w:t>
      </w:r>
      <w:r w:rsidR="00B5002A">
        <w:t xml:space="preserve">annual </w:t>
      </w:r>
      <w:r w:rsidR="005504F0" w:rsidRPr="006F268C">
        <w:t xml:space="preserve">review is within 30 days before approval </w:t>
      </w:r>
      <w:r w:rsidR="005504F0" w:rsidRPr="006F268C">
        <w:lastRenderedPageBreak/>
        <w:t>expires</w:t>
      </w:r>
      <w:r w:rsidR="00B5002A">
        <w:t xml:space="preserve"> (when required)</w:t>
      </w:r>
      <w:r w:rsidR="005504F0" w:rsidRPr="006F268C">
        <w:t xml:space="preserve">, the study retains the anniversary date as the date by which the continuing review must occur.  The new expiration date is calculated from the last approval date plus 12 months (or other time frame as specified by the </w:t>
      </w:r>
      <w:r w:rsidR="002D6B2C">
        <w:t>b</w:t>
      </w:r>
      <w:r w:rsidR="005504F0" w:rsidRPr="006F268C">
        <w:t xml:space="preserve">oard). </w:t>
      </w:r>
    </w:p>
    <w:p w14:paraId="189D7C56" w14:textId="77777777" w:rsidR="005504F0" w:rsidRPr="006F268C" w:rsidRDefault="005504F0" w:rsidP="005504F0"/>
    <w:p w14:paraId="6CB79E72" w14:textId="77777777" w:rsidR="005504F0" w:rsidRPr="006F268C" w:rsidRDefault="005504F0" w:rsidP="00993152">
      <w:pPr>
        <w:ind w:left="720"/>
      </w:pPr>
      <w:r w:rsidRPr="006F268C">
        <w:t xml:space="preserve">EXAMPLE: A </w:t>
      </w:r>
      <w:r w:rsidR="00A334EE">
        <w:t>project</w:t>
      </w:r>
      <w:r w:rsidR="00A334EE" w:rsidRPr="006F268C">
        <w:t xml:space="preserve"> </w:t>
      </w:r>
      <w:r w:rsidRPr="006F268C">
        <w:t xml:space="preserve">was reviewed by the convened IRB on April 14, 2004 and it expires on May 10, 2004.  The new expiration date would be May 10, 2005. See OHRP guidance on </w:t>
      </w:r>
      <w:r w:rsidR="00A334EE">
        <w:t>continuing review</w:t>
      </w:r>
      <w:r w:rsidRPr="006F268C">
        <w:t xml:space="preserve"> dated </w:t>
      </w:r>
      <w:r w:rsidR="00E56305" w:rsidRPr="006F268C">
        <w:t xml:space="preserve">November 10, 2010 </w:t>
      </w:r>
      <w:r w:rsidRPr="006F268C">
        <w:t>for further clarifications.</w:t>
      </w:r>
    </w:p>
    <w:p w14:paraId="5B4665E3" w14:textId="77777777" w:rsidR="006A352C" w:rsidRPr="006F268C" w:rsidRDefault="006A352C" w:rsidP="0027786E">
      <w:pPr>
        <w:rPr>
          <w:b/>
        </w:rPr>
      </w:pPr>
    </w:p>
    <w:p w14:paraId="36BF93A7" w14:textId="77777777" w:rsidR="004D7032" w:rsidRDefault="004A7DF0" w:rsidP="0027786E">
      <w:pPr>
        <w:rPr>
          <w:b/>
          <w:u w:val="single"/>
        </w:rPr>
      </w:pPr>
      <w:r w:rsidRPr="00FB7EDB">
        <w:rPr>
          <w:b/>
          <w:u w:val="single"/>
        </w:rPr>
        <w:t>Modifications</w:t>
      </w:r>
    </w:p>
    <w:p w14:paraId="6E902D81" w14:textId="77777777" w:rsidR="00BA3C9F" w:rsidRPr="00FB7EDB" w:rsidRDefault="00BA3C9F" w:rsidP="0027786E">
      <w:pPr>
        <w:rPr>
          <w:b/>
          <w:u w:val="single"/>
        </w:rPr>
      </w:pPr>
    </w:p>
    <w:p w14:paraId="2C2EA4C7" w14:textId="77777777" w:rsidR="004A7DF0" w:rsidRDefault="00A91DD7" w:rsidP="0027786E">
      <w:r>
        <w:t>Only administrative changes will be reviewed on a</w:t>
      </w:r>
      <w:r w:rsidR="007718F4">
        <w:t xml:space="preserve">n annual report </w:t>
      </w:r>
      <w:r>
        <w:t xml:space="preserve">unless </w:t>
      </w:r>
      <w:r w:rsidR="004A7DF0" w:rsidRPr="006F268C">
        <w:t xml:space="preserve">the board determines that a modification is necessary </w:t>
      </w:r>
      <w:r w:rsidR="00CD3C17">
        <w:t>at continuing review time</w:t>
      </w:r>
      <w:r>
        <w:t xml:space="preserve">. </w:t>
      </w:r>
      <w:r w:rsidR="00B5002A">
        <w:t xml:space="preserve">Transitional changes to the revised common rule/IRB policies </w:t>
      </w:r>
      <w:r w:rsidR="00E271F7">
        <w:t xml:space="preserve">can also be </w:t>
      </w:r>
      <w:r w:rsidR="00B5002A">
        <w:t xml:space="preserve">made on the annual report. See </w:t>
      </w:r>
      <w:r w:rsidR="00B5002A">
        <w:rPr>
          <w:bCs/>
        </w:rPr>
        <w:t>“Research Subject to the Revised Common Rule” SOP for additional information regarding transitioning of existing studies.</w:t>
      </w:r>
      <w:r w:rsidR="00B5002A">
        <w:t xml:space="preserve"> </w:t>
      </w:r>
      <w:r>
        <w:t xml:space="preserve">See the </w:t>
      </w:r>
      <w:r w:rsidR="00B5002A">
        <w:t>“</w:t>
      </w:r>
      <w:r>
        <w:t>Amendment</w:t>
      </w:r>
      <w:r w:rsidR="00B5002A">
        <w:t>”</w:t>
      </w:r>
      <w:r>
        <w:t xml:space="preserve"> SOP regarding </w:t>
      </w:r>
      <w:r w:rsidR="005B38F1">
        <w:t xml:space="preserve">IRB </w:t>
      </w:r>
      <w:r w:rsidR="00E271F7">
        <w:t xml:space="preserve">review of </w:t>
      </w:r>
      <w:r>
        <w:t>changes.</w:t>
      </w:r>
      <w:r w:rsidR="004A7DF0" w:rsidRPr="006F268C">
        <w:t xml:space="preserve"> </w:t>
      </w:r>
    </w:p>
    <w:p w14:paraId="147423F6" w14:textId="77777777" w:rsidR="00673DFA" w:rsidRDefault="00673DFA" w:rsidP="0027786E"/>
    <w:p w14:paraId="46945AA6" w14:textId="77777777" w:rsidR="00770A62" w:rsidRDefault="00770A62" w:rsidP="0027786E">
      <w:pPr>
        <w:rPr>
          <w:b/>
          <w:u w:val="single"/>
        </w:rPr>
      </w:pPr>
      <w:bookmarkStart w:id="7" w:name="_Status_Changes/Completion"/>
      <w:bookmarkEnd w:id="7"/>
      <w:r w:rsidRPr="006F268C">
        <w:rPr>
          <w:b/>
          <w:u w:val="single"/>
        </w:rPr>
        <w:t>Subject Complaints</w:t>
      </w:r>
    </w:p>
    <w:p w14:paraId="44667AAE" w14:textId="77777777" w:rsidR="00BA3C9F" w:rsidRPr="006F268C" w:rsidRDefault="00BA3C9F" w:rsidP="0027786E">
      <w:pPr>
        <w:rPr>
          <w:b/>
          <w:u w:val="single"/>
        </w:rPr>
      </w:pPr>
    </w:p>
    <w:p w14:paraId="220E05B7" w14:textId="09B4AE41" w:rsidR="00770A62" w:rsidRPr="006F268C" w:rsidRDefault="00770A62" w:rsidP="0027786E">
      <w:r w:rsidRPr="006F268C">
        <w:t>If the complaint</w:t>
      </w:r>
      <w:r w:rsidR="00584BAD" w:rsidRPr="006F268C">
        <w:t>/</w:t>
      </w:r>
      <w:r w:rsidRPr="006F268C">
        <w:t xml:space="preserve">concern does not indicate an </w:t>
      </w:r>
      <w:r w:rsidR="008047B4">
        <w:t>unanticipated problem</w:t>
      </w:r>
      <w:r w:rsidR="00B37D4C" w:rsidRPr="006F268C">
        <w:t>,</w:t>
      </w:r>
      <w:r w:rsidRPr="006F268C">
        <w:t xml:space="preserve"> </w:t>
      </w:r>
      <w:r w:rsidR="008047B4">
        <w:t>and</w:t>
      </w:r>
      <w:r w:rsidRPr="006F268C">
        <w:t xml:space="preserve"> the complaint/concern can be resolved by the PI, </w:t>
      </w:r>
      <w:r w:rsidR="00B37D4C" w:rsidRPr="006F268C">
        <w:t xml:space="preserve">then </w:t>
      </w:r>
      <w:r w:rsidRPr="006F268C">
        <w:t xml:space="preserve">the information associated with the complaint/concern will be included as part of the </w:t>
      </w:r>
      <w:r w:rsidR="007718F4">
        <w:t xml:space="preserve">annual report </w:t>
      </w:r>
      <w:r w:rsidRPr="006F268C">
        <w:t>for review by the IRB.</w:t>
      </w:r>
      <w:r w:rsidR="00221CBA">
        <w:t xml:space="preserve"> Complaints/concerns qualifying as unanticipated problems must be reported according to the Unanticipated Problems SOP.</w:t>
      </w:r>
    </w:p>
    <w:p w14:paraId="0EFE07AA" w14:textId="77777777" w:rsidR="00AE429E" w:rsidRDefault="00AE429E" w:rsidP="0027786E">
      <w:pPr>
        <w:rPr>
          <w:b/>
          <w:u w:val="single"/>
        </w:rPr>
      </w:pPr>
    </w:p>
    <w:p w14:paraId="4278B17D" w14:textId="77777777" w:rsidR="00D82F91" w:rsidRDefault="00443C20" w:rsidP="0027786E">
      <w:pPr>
        <w:rPr>
          <w:b/>
          <w:u w:val="single"/>
        </w:rPr>
      </w:pPr>
      <w:r w:rsidRPr="006F268C">
        <w:rPr>
          <w:b/>
          <w:u w:val="single"/>
        </w:rPr>
        <w:t xml:space="preserve">Status Changes/Completion </w:t>
      </w:r>
    </w:p>
    <w:p w14:paraId="2B3DF31C" w14:textId="77777777" w:rsidR="00BA3C9F" w:rsidRPr="006F268C" w:rsidRDefault="00BA3C9F" w:rsidP="0027786E">
      <w:pPr>
        <w:rPr>
          <w:b/>
          <w:u w:val="single"/>
        </w:rPr>
      </w:pPr>
    </w:p>
    <w:p w14:paraId="02A445D4" w14:textId="77777777" w:rsidR="00D82F91" w:rsidRPr="006F268C" w:rsidRDefault="007718F4" w:rsidP="0027786E">
      <w:r>
        <w:t>An annual report</w:t>
      </w:r>
      <w:r w:rsidR="00D82F91" w:rsidRPr="006F268C">
        <w:t xml:space="preserve"> may be used to change the status</w:t>
      </w:r>
      <w:r w:rsidR="00EB608C">
        <w:t xml:space="preserve"> of the study</w:t>
      </w:r>
      <w:r w:rsidR="00D82F91" w:rsidRPr="006F268C">
        <w:t xml:space="preserve"> </w:t>
      </w:r>
      <w:r w:rsidR="00E11081">
        <w:t xml:space="preserve">if it is moving from an open to status to a closed status and </w:t>
      </w:r>
      <w:r w:rsidR="00EB608C">
        <w:t>the change occurs around the time the</w:t>
      </w:r>
      <w:r>
        <w:t xml:space="preserve"> report</w:t>
      </w:r>
      <w:r w:rsidR="00EB608C">
        <w:t xml:space="preserve"> is due; otherwise, status changes are submitted on an Amendment.</w:t>
      </w:r>
    </w:p>
    <w:p w14:paraId="73178285" w14:textId="77777777" w:rsidR="00D82F91" w:rsidRPr="006F268C" w:rsidRDefault="00D82F91" w:rsidP="0027786E"/>
    <w:p w14:paraId="67F72479" w14:textId="77777777" w:rsidR="00443C20" w:rsidRPr="006F268C" w:rsidRDefault="00443C20" w:rsidP="0027786E">
      <w:r w:rsidRPr="006F268C">
        <w:t>If a study has been prematurely completed</w:t>
      </w:r>
      <w:r w:rsidR="004036D5">
        <w:t xml:space="preserve"> or was never conducted</w:t>
      </w:r>
      <w:r w:rsidRPr="006F268C">
        <w:t xml:space="preserve">, a Completion /Withdrawal </w:t>
      </w:r>
      <w:r w:rsidR="00E0289D">
        <w:t>Report</w:t>
      </w:r>
      <w:r w:rsidR="00E0289D" w:rsidRPr="006F268C">
        <w:t xml:space="preserve"> </w:t>
      </w:r>
      <w:r w:rsidRPr="006F268C">
        <w:t xml:space="preserve">should be completed and submitted to the IRB as soon as possible.  </w:t>
      </w:r>
    </w:p>
    <w:p w14:paraId="0F3F25FA" w14:textId="77777777" w:rsidR="00443C20" w:rsidRPr="006F268C" w:rsidRDefault="00443C20" w:rsidP="00443C20">
      <w:pPr>
        <w:ind w:left="720"/>
      </w:pPr>
    </w:p>
    <w:p w14:paraId="04A0B081" w14:textId="77777777" w:rsidR="00F106F7" w:rsidRDefault="00F106F7" w:rsidP="00264EB8">
      <w:pPr>
        <w:pStyle w:val="BodyTextIndent"/>
        <w:ind w:left="0"/>
        <w:rPr>
          <w:b/>
          <w:sz w:val="24"/>
          <w:u w:val="single"/>
        </w:rPr>
      </w:pPr>
      <w:r>
        <w:rPr>
          <w:b/>
          <w:sz w:val="24"/>
          <w:u w:val="single"/>
        </w:rPr>
        <w:t>IRB Records</w:t>
      </w:r>
    </w:p>
    <w:p w14:paraId="239FFFAF" w14:textId="77777777" w:rsidR="00F106F7" w:rsidRDefault="00F106F7" w:rsidP="00264EB8">
      <w:pPr>
        <w:pStyle w:val="BodyTextIndent"/>
        <w:ind w:left="0"/>
        <w:rPr>
          <w:b/>
          <w:sz w:val="24"/>
          <w:u w:val="single"/>
        </w:rPr>
      </w:pPr>
    </w:p>
    <w:p w14:paraId="4C20A69A" w14:textId="77777777" w:rsidR="00F106F7" w:rsidRDefault="00F106F7" w:rsidP="00264EB8">
      <w:pPr>
        <w:pStyle w:val="BodyTextIndent"/>
        <w:ind w:left="0"/>
        <w:rPr>
          <w:sz w:val="24"/>
        </w:rPr>
      </w:pPr>
      <w:r>
        <w:rPr>
          <w:sz w:val="24"/>
        </w:rPr>
        <w:t>The IRB will maintain records of continuing review activities, including the rationale for conducting continuing review of research that otherwise would not require continuing review as described in 46.109(f)(1). Documentation will be placed in the IRB reviewer checklist</w:t>
      </w:r>
      <w:r w:rsidR="00141273">
        <w:rPr>
          <w:sz w:val="24"/>
        </w:rPr>
        <w:t xml:space="preserve"> and minutes, if applicable.</w:t>
      </w:r>
    </w:p>
    <w:p w14:paraId="1BA44D78" w14:textId="77777777" w:rsidR="00A0723B" w:rsidRDefault="00A0723B" w:rsidP="00264EB8">
      <w:pPr>
        <w:pStyle w:val="BodyTextIndent"/>
        <w:ind w:left="0"/>
        <w:rPr>
          <w:sz w:val="24"/>
        </w:rPr>
      </w:pPr>
    </w:p>
    <w:p w14:paraId="093CC12D" w14:textId="77777777" w:rsidR="00FF41DB" w:rsidRDefault="00FF41DB" w:rsidP="00FF41DB">
      <w:pPr>
        <w:rPr>
          <w:b/>
          <w:u w:val="single"/>
        </w:rPr>
      </w:pPr>
      <w:r w:rsidRPr="00FB7EDB">
        <w:rPr>
          <w:b/>
          <w:u w:val="single"/>
        </w:rPr>
        <w:t>Re-Opening Projects that are Expired or Closed</w:t>
      </w:r>
    </w:p>
    <w:p w14:paraId="7ACB80E2" w14:textId="77777777" w:rsidR="00FE292C" w:rsidRPr="00FB7EDB" w:rsidRDefault="00FE292C" w:rsidP="00FF41DB">
      <w:pPr>
        <w:rPr>
          <w:b/>
          <w:u w:val="single"/>
        </w:rPr>
      </w:pPr>
    </w:p>
    <w:p w14:paraId="6C1C5E60" w14:textId="77777777" w:rsidR="00FF41DB" w:rsidRDefault="00FF41DB" w:rsidP="00FF41DB">
      <w:r>
        <w:t xml:space="preserve">Projects that expire because no annual report was submitted by the expiration date may be re-activated if the annual report is submitted within a reasonable amount of time and no activities have occurred since the project expired. </w:t>
      </w:r>
    </w:p>
    <w:p w14:paraId="175D87E2" w14:textId="77777777" w:rsidR="00FF41DB" w:rsidRDefault="00FF41DB" w:rsidP="00FF41DB"/>
    <w:p w14:paraId="7A329814" w14:textId="77777777" w:rsidR="00FF41DB" w:rsidRDefault="00FF41DB" w:rsidP="00FF41DB">
      <w:r>
        <w:lastRenderedPageBreak/>
        <w:t xml:space="preserve">Projects that are closed prematurely may be re-activated if another annual report is submitted within a reasonable amount of time and no activities have occurred since the project was closed. </w:t>
      </w:r>
    </w:p>
    <w:p w14:paraId="02013333" w14:textId="77777777" w:rsidR="00FF41DB" w:rsidRDefault="00FF41DB" w:rsidP="00FF41DB"/>
    <w:p w14:paraId="0315EFCB" w14:textId="77777777" w:rsidR="00FF41DB" w:rsidRDefault="00FF41DB" w:rsidP="00FF41DB">
      <w:r>
        <w:t>Re-opening a study will be allowed on a case-by-case basis.</w:t>
      </w:r>
    </w:p>
    <w:p w14:paraId="7B9CDE11" w14:textId="77777777" w:rsidR="00FF41DB" w:rsidRDefault="00FF41DB" w:rsidP="00264EB8">
      <w:pPr>
        <w:pStyle w:val="BodyTextIndent"/>
        <w:ind w:left="0"/>
        <w:rPr>
          <w:b/>
          <w:sz w:val="24"/>
          <w:u w:val="single"/>
        </w:rPr>
      </w:pPr>
    </w:p>
    <w:p w14:paraId="4C00202A" w14:textId="77777777" w:rsidR="00A0723B" w:rsidRPr="00084BCC" w:rsidRDefault="00A0723B" w:rsidP="00264EB8">
      <w:pPr>
        <w:pStyle w:val="BodyTextIndent"/>
        <w:ind w:left="0"/>
        <w:rPr>
          <w:b/>
          <w:sz w:val="24"/>
          <w:u w:val="single"/>
        </w:rPr>
      </w:pPr>
      <w:r w:rsidRPr="00084BCC">
        <w:rPr>
          <w:b/>
          <w:sz w:val="24"/>
          <w:u w:val="single"/>
        </w:rPr>
        <w:t>Expiration</w:t>
      </w:r>
    </w:p>
    <w:p w14:paraId="3BDED67B" w14:textId="77777777" w:rsidR="00A0723B" w:rsidRDefault="00A0723B" w:rsidP="00264EB8">
      <w:pPr>
        <w:pStyle w:val="BodyTextIndent"/>
        <w:ind w:left="0"/>
        <w:rPr>
          <w:sz w:val="24"/>
        </w:rPr>
      </w:pPr>
    </w:p>
    <w:p w14:paraId="6ED703BF" w14:textId="77777777" w:rsidR="00A0723B" w:rsidRDefault="00A0723B" w:rsidP="00A0723B">
      <w:pPr>
        <w:pStyle w:val="BodyTextIndent"/>
        <w:ind w:left="0"/>
        <w:rPr>
          <w:sz w:val="24"/>
        </w:rPr>
      </w:pPr>
      <w:r w:rsidRPr="006F268C">
        <w:rPr>
          <w:sz w:val="24"/>
        </w:rPr>
        <w:t xml:space="preserve">If the IRB approval expires, the PI must cease all </w:t>
      </w:r>
      <w:r w:rsidR="00E05AAC">
        <w:rPr>
          <w:sz w:val="24"/>
        </w:rPr>
        <w:t>human</w:t>
      </w:r>
      <w:r w:rsidR="0086533B">
        <w:rPr>
          <w:sz w:val="24"/>
        </w:rPr>
        <w:t xml:space="preserve"> subject </w:t>
      </w:r>
      <w:r w:rsidRPr="006F268C">
        <w:rPr>
          <w:sz w:val="24"/>
        </w:rPr>
        <w:t xml:space="preserve">research activities and may not enroll new subjects in the study.  </w:t>
      </w:r>
      <w:r w:rsidR="001853DD">
        <w:rPr>
          <w:sz w:val="24"/>
        </w:rPr>
        <w:t xml:space="preserve">The PI must inform the IRB </w:t>
      </w:r>
      <w:r w:rsidR="00F3765F">
        <w:rPr>
          <w:sz w:val="24"/>
        </w:rPr>
        <w:t xml:space="preserve">office </w:t>
      </w:r>
      <w:r w:rsidR="001853DD">
        <w:rPr>
          <w:sz w:val="24"/>
        </w:rPr>
        <w:t xml:space="preserve">if they have a subject(s) that needs to continue to stay on the study even though </w:t>
      </w:r>
      <w:r w:rsidR="00F3765F">
        <w:rPr>
          <w:sz w:val="24"/>
        </w:rPr>
        <w:t>the IRB approval</w:t>
      </w:r>
      <w:r w:rsidR="001853DD">
        <w:rPr>
          <w:sz w:val="24"/>
        </w:rPr>
        <w:t xml:space="preserve"> expired</w:t>
      </w:r>
      <w:r w:rsidR="00F3765F">
        <w:rPr>
          <w:sz w:val="24"/>
        </w:rPr>
        <w:t>,</w:t>
      </w:r>
      <w:r w:rsidR="001853DD">
        <w:rPr>
          <w:sz w:val="24"/>
        </w:rPr>
        <w:t xml:space="preserve"> and </w:t>
      </w:r>
      <w:r w:rsidR="00F3765F">
        <w:rPr>
          <w:sz w:val="24"/>
        </w:rPr>
        <w:t xml:space="preserve">they must </w:t>
      </w:r>
      <w:r w:rsidR="001853DD">
        <w:rPr>
          <w:sz w:val="24"/>
        </w:rPr>
        <w:t xml:space="preserve">provide justification in writing. </w:t>
      </w:r>
      <w:r w:rsidR="009512E2">
        <w:rPr>
          <w:sz w:val="24"/>
        </w:rPr>
        <w:t xml:space="preserve">If </w:t>
      </w:r>
      <w:r w:rsidRPr="006F268C">
        <w:rPr>
          <w:sz w:val="24"/>
        </w:rPr>
        <w:t xml:space="preserve">the IRB </w:t>
      </w:r>
      <w:r w:rsidR="001853DD">
        <w:rPr>
          <w:sz w:val="24"/>
        </w:rPr>
        <w:t>finds an over-riding safety concern or ethical issue involved such that it is in</w:t>
      </w:r>
      <w:r w:rsidRPr="006F268C">
        <w:rPr>
          <w:sz w:val="24"/>
        </w:rPr>
        <w:t xml:space="preserve"> best interest of the subject to continue in the research activities, the IRB may permit subjects to continu</w:t>
      </w:r>
      <w:r w:rsidR="000D3D73">
        <w:rPr>
          <w:sz w:val="24"/>
        </w:rPr>
        <w:t>e</w:t>
      </w:r>
      <w:r w:rsidRPr="006F268C">
        <w:rPr>
          <w:sz w:val="24"/>
        </w:rPr>
        <w:t xml:space="preserve"> for the time required to complete the continuing review process.</w:t>
      </w:r>
      <w:r w:rsidR="009512E2">
        <w:rPr>
          <w:sz w:val="24"/>
        </w:rPr>
        <w:t xml:space="preserve"> Documentation of this determination will be placed in the timeline of eCompliance.</w:t>
      </w:r>
      <w:r w:rsidRPr="006F268C">
        <w:rPr>
          <w:sz w:val="24"/>
        </w:rPr>
        <w:t xml:space="preserve">  </w:t>
      </w:r>
    </w:p>
    <w:p w14:paraId="49B7B923" w14:textId="77777777" w:rsidR="00A0723B" w:rsidRDefault="00A0723B" w:rsidP="00A0723B">
      <w:pPr>
        <w:pStyle w:val="BodyTextIndent"/>
        <w:ind w:left="0"/>
        <w:rPr>
          <w:sz w:val="24"/>
        </w:rPr>
      </w:pPr>
    </w:p>
    <w:p w14:paraId="28464C35" w14:textId="77777777" w:rsidR="00A0723B" w:rsidRPr="006F268C" w:rsidRDefault="00A0723B" w:rsidP="00A0723B">
      <w:pPr>
        <w:pStyle w:val="BodyTextIndent"/>
        <w:ind w:left="0"/>
        <w:rPr>
          <w:sz w:val="24"/>
        </w:rPr>
      </w:pPr>
      <w:r w:rsidRPr="006F268C">
        <w:rPr>
          <w:sz w:val="24"/>
        </w:rPr>
        <w:t xml:space="preserve">Investigators are required to promptly report the expiration to the sponsor.  Expiration of IRB approval does not need to be reported OHRP as a suspension of IRB approval under HHS regulations. </w:t>
      </w:r>
    </w:p>
    <w:p w14:paraId="2BE65496" w14:textId="77777777" w:rsidR="00A0723B" w:rsidRPr="00084BCC" w:rsidRDefault="00A0723B" w:rsidP="00264EB8">
      <w:pPr>
        <w:pStyle w:val="BodyTextIndent"/>
        <w:ind w:left="0"/>
        <w:rPr>
          <w:sz w:val="24"/>
        </w:rPr>
      </w:pPr>
    </w:p>
    <w:p w14:paraId="3E47D556" w14:textId="77777777" w:rsidR="00711B0D" w:rsidRPr="000B01CE" w:rsidRDefault="00711B0D" w:rsidP="00711B0D"/>
    <w:p w14:paraId="64D00BB9" w14:textId="77777777" w:rsidR="00711B0D" w:rsidRDefault="00711B0D" w:rsidP="00711B0D">
      <w:pPr>
        <w:pStyle w:val="BodyTextIndent"/>
        <w:ind w:left="0"/>
        <w:rPr>
          <w:b/>
          <w:bCs/>
          <w:sz w:val="24"/>
        </w:rPr>
      </w:pPr>
      <w:r w:rsidRPr="00B07732">
        <w:rPr>
          <w:b/>
          <w:bCs/>
          <w:sz w:val="24"/>
        </w:rPr>
        <w:t>Effective and Revision Dates:</w:t>
      </w:r>
    </w:p>
    <w:p w14:paraId="1C66EDFF" w14:textId="55FD4DDA" w:rsidR="006C5D4B" w:rsidRPr="006C5D4B" w:rsidRDefault="006C5D4B" w:rsidP="00711B0D">
      <w:pPr>
        <w:pStyle w:val="BodyTextIndent"/>
        <w:ind w:left="0"/>
        <w:rPr>
          <w:sz w:val="24"/>
        </w:rPr>
      </w:pPr>
      <w:r>
        <w:rPr>
          <w:sz w:val="24"/>
        </w:rPr>
        <w:t>January 21, 2019; July 12, 2019; January 21, 2020; March 1, 2020; June 15, 2021; October 23, 2025</w:t>
      </w:r>
    </w:p>
    <w:p w14:paraId="23CD6F9F" w14:textId="77777777" w:rsidR="00711B0D" w:rsidRDefault="00711B0D" w:rsidP="00711B0D">
      <w:pPr>
        <w:pStyle w:val="BodyTextIndent"/>
        <w:rPr>
          <w:sz w:val="24"/>
        </w:rPr>
      </w:pPr>
    </w:p>
    <w:p w14:paraId="1B3FE927" w14:textId="77777777" w:rsidR="00711B0D" w:rsidRDefault="00711B0D" w:rsidP="00711B0D">
      <w:r w:rsidRPr="00B07732">
        <w:rPr>
          <w:b/>
          <w:bCs/>
        </w:rPr>
        <w:t>Approved By:</w:t>
      </w:r>
      <w:r>
        <w:rPr>
          <w:b/>
          <w:bCs/>
        </w:rPr>
        <w:t xml:space="preserve"> </w:t>
      </w:r>
      <w:r>
        <w:t>Michele Kennett, JD, MSN, LLM, PhD, Associate Vice Chancellor for Research and Institutional Official</w:t>
      </w:r>
    </w:p>
    <w:p w14:paraId="7DE02E18" w14:textId="77777777" w:rsidR="00F106F7" w:rsidRDefault="00F106F7" w:rsidP="00264EB8">
      <w:pPr>
        <w:pStyle w:val="BodyTextIndent"/>
        <w:ind w:left="0"/>
        <w:rPr>
          <w:b/>
          <w:sz w:val="24"/>
          <w:u w:val="single"/>
        </w:rPr>
      </w:pPr>
    </w:p>
    <w:p w14:paraId="1C554003" w14:textId="77777777" w:rsidR="00264EB8" w:rsidRPr="006F268C" w:rsidRDefault="00264EB8" w:rsidP="00264EB8">
      <w:pPr>
        <w:pStyle w:val="BodyTextIndent"/>
        <w:ind w:left="0"/>
        <w:rPr>
          <w:b/>
          <w:sz w:val="24"/>
          <w:u w:val="single"/>
        </w:rPr>
      </w:pPr>
      <w:r w:rsidRPr="006F268C">
        <w:rPr>
          <w:b/>
          <w:sz w:val="24"/>
          <w:u w:val="single"/>
        </w:rPr>
        <w:t>References:</w:t>
      </w:r>
    </w:p>
    <w:p w14:paraId="0D857F25" w14:textId="77777777" w:rsidR="00264EB8" w:rsidRPr="006F268C" w:rsidRDefault="00264EB8" w:rsidP="00264EB8">
      <w:pPr>
        <w:pStyle w:val="BodyTextIndent"/>
        <w:ind w:left="0"/>
        <w:rPr>
          <w:b/>
          <w:sz w:val="24"/>
          <w:u w:val="single"/>
        </w:rPr>
      </w:pPr>
    </w:p>
    <w:p w14:paraId="556B6FEE" w14:textId="77777777" w:rsidR="00264EB8" w:rsidRPr="006F268C" w:rsidRDefault="00264EB8" w:rsidP="00264EB8">
      <w:pPr>
        <w:pStyle w:val="BodyTextIndent"/>
        <w:ind w:left="0"/>
        <w:rPr>
          <w:sz w:val="24"/>
        </w:rPr>
      </w:pPr>
      <w:r w:rsidRPr="006F268C">
        <w:rPr>
          <w:sz w:val="24"/>
        </w:rPr>
        <w:t xml:space="preserve">Policy Revision Dates Prior to January 21, 2019: </w:t>
      </w:r>
    </w:p>
    <w:p w14:paraId="15B1CDDD" w14:textId="77777777" w:rsidR="00264EB8" w:rsidRPr="006F268C" w:rsidRDefault="00264EB8" w:rsidP="00264EB8">
      <w:pPr>
        <w:pStyle w:val="BodyTextIndent"/>
        <w:ind w:left="0"/>
        <w:rPr>
          <w:sz w:val="24"/>
        </w:rPr>
      </w:pPr>
      <w:r w:rsidRPr="006F268C">
        <w:rPr>
          <w:sz w:val="24"/>
        </w:rPr>
        <w:t>July 1, 2004; August 23, 2005; February 24, 2006; December 1, 2006; June 10, 2010;             July 1, 2011; July 2, 2014; March 1, 2015; July 1, 2015; January 29, 2016; June 8, 2017</w:t>
      </w:r>
    </w:p>
    <w:p w14:paraId="613346F0" w14:textId="77777777" w:rsidR="005A6EA6" w:rsidRPr="006F268C" w:rsidRDefault="005A6EA6"/>
    <w:p w14:paraId="0735531C" w14:textId="77777777" w:rsidR="00264EB8" w:rsidRPr="006F268C" w:rsidRDefault="00264EB8"/>
    <w:sectPr w:rsidR="00264EB8" w:rsidRPr="006F268C">
      <w:headerReference w:type="defaul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1BDCD" w14:textId="77777777" w:rsidR="00032D96" w:rsidRDefault="00032D96">
      <w:r>
        <w:separator/>
      </w:r>
    </w:p>
  </w:endnote>
  <w:endnote w:type="continuationSeparator" w:id="0">
    <w:p w14:paraId="1AB1BC2F" w14:textId="77777777" w:rsidR="00032D96" w:rsidRDefault="00032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B44B8" w14:textId="77777777" w:rsidR="00032D96" w:rsidRDefault="00032D96">
      <w:r>
        <w:separator/>
      </w:r>
    </w:p>
  </w:footnote>
  <w:footnote w:type="continuationSeparator" w:id="0">
    <w:p w14:paraId="6389E426" w14:textId="77777777" w:rsidR="00032D96" w:rsidRDefault="00032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FA45A" w14:textId="77777777" w:rsidR="008E68BB" w:rsidRDefault="00946449">
    <w:pPr>
      <w:pStyle w:val="Header"/>
      <w:jc w:val="center"/>
      <w:rPr>
        <w:b/>
        <w:bCs/>
        <w:sz w:val="22"/>
      </w:rPr>
    </w:pPr>
    <w:r>
      <w:rPr>
        <w:b/>
        <w:bCs/>
        <w:sz w:val="22"/>
      </w:rPr>
      <w:t>SOP</w:t>
    </w:r>
    <w:r w:rsidR="008E68BB">
      <w:rPr>
        <w:b/>
        <w:bCs/>
        <w:sz w:val="22"/>
      </w:rPr>
      <w:t xml:space="preserve"> - </w:t>
    </w:r>
    <w:r w:rsidR="00AD62FC">
      <w:rPr>
        <w:b/>
        <w:bCs/>
        <w:sz w:val="22"/>
      </w:rPr>
      <w:t>Annual Review of Research</w:t>
    </w:r>
  </w:p>
  <w:p w14:paraId="1DF0D735" w14:textId="77777777" w:rsidR="008E68BB" w:rsidRDefault="008E68BB">
    <w:pPr>
      <w:pStyle w:val="Header"/>
      <w:jc w:val="center"/>
      <w:rPr>
        <w:sz w:val="22"/>
      </w:rPr>
    </w:pPr>
    <w:r>
      <w:rPr>
        <w:sz w:val="22"/>
      </w:rPr>
      <w:t xml:space="preserve">Page </w:t>
    </w:r>
    <w:r>
      <w:rPr>
        <w:sz w:val="22"/>
      </w:rPr>
      <w:fldChar w:fldCharType="begin"/>
    </w:r>
    <w:r>
      <w:rPr>
        <w:sz w:val="22"/>
      </w:rPr>
      <w:instrText xml:space="preserve"> PAGE </w:instrText>
    </w:r>
    <w:r>
      <w:rPr>
        <w:sz w:val="22"/>
      </w:rPr>
      <w:fldChar w:fldCharType="separate"/>
    </w:r>
    <w:r w:rsidR="00AB7F21">
      <w:rPr>
        <w:noProof/>
        <w:sz w:val="22"/>
      </w:rPr>
      <w:t>2</w:t>
    </w:r>
    <w:r>
      <w:rPr>
        <w:sz w:val="22"/>
      </w:rPr>
      <w:fldChar w:fldCharType="end"/>
    </w:r>
    <w:r>
      <w:rPr>
        <w:sz w:val="22"/>
      </w:rPr>
      <w:t xml:space="preserve"> of </w:t>
    </w:r>
    <w:r>
      <w:rPr>
        <w:sz w:val="22"/>
      </w:rPr>
      <w:fldChar w:fldCharType="begin"/>
    </w:r>
    <w:r>
      <w:rPr>
        <w:sz w:val="22"/>
      </w:rPr>
      <w:instrText xml:space="preserve"> NUMPAGES </w:instrText>
    </w:r>
    <w:r>
      <w:rPr>
        <w:sz w:val="22"/>
      </w:rPr>
      <w:fldChar w:fldCharType="separate"/>
    </w:r>
    <w:r w:rsidR="00AB7F21">
      <w:rPr>
        <w:noProof/>
        <w:sz w:val="22"/>
      </w:rPr>
      <w:t>7</w:t>
    </w:r>
    <w:r>
      <w:rPr>
        <w:sz w:val="22"/>
      </w:rPr>
      <w:fldChar w:fldCharType="end"/>
    </w:r>
  </w:p>
  <w:p w14:paraId="3B7CBCCF" w14:textId="77777777" w:rsidR="008E68BB" w:rsidRDefault="008E68BB">
    <w:pPr>
      <w:pStyle w:val="Header"/>
      <w:jc w:val="cente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F881A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D15F71"/>
    <w:multiLevelType w:val="hybridMultilevel"/>
    <w:tmpl w:val="9796FAA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04432430"/>
    <w:multiLevelType w:val="multilevel"/>
    <w:tmpl w:val="20A6C490"/>
    <w:lvl w:ilvl="0">
      <w:start w:val="2"/>
      <w:numFmt w:val="decimal"/>
      <w:lvlText w:val="%1."/>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hint="default"/>
        <w:sz w:val="20"/>
      </w:rPr>
    </w:lvl>
    <w:lvl w:ilvl="2">
      <w:start w:val="1"/>
      <w:numFmt w:val="lowerLetter"/>
      <w:lvlText w:val="%3."/>
      <w:lvlJc w:val="left"/>
      <w:pPr>
        <w:tabs>
          <w:tab w:val="num" w:pos="2520"/>
        </w:tabs>
        <w:ind w:left="2520" w:hanging="360"/>
      </w:pPr>
    </w:lvl>
    <w:lvl w:ilvl="3">
      <w:start w:val="1"/>
      <w:numFmt w:val="lowerRoman"/>
      <w:lvlText w:val="%4."/>
      <w:lvlJc w:val="righ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15:restartNumberingAfterBreak="0">
    <w:nsid w:val="074503FC"/>
    <w:multiLevelType w:val="hybridMultilevel"/>
    <w:tmpl w:val="D03401F8"/>
    <w:lvl w:ilvl="0" w:tplc="20D853FA">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090F3146"/>
    <w:multiLevelType w:val="hybridMultilevel"/>
    <w:tmpl w:val="05004874"/>
    <w:lvl w:ilvl="0" w:tplc="0409000F">
      <w:start w:val="1"/>
      <w:numFmt w:val="decimal"/>
      <w:lvlText w:val="%1."/>
      <w:lvlJc w:val="left"/>
      <w:pPr>
        <w:ind w:left="720" w:hanging="360"/>
      </w:pPr>
      <w:rPr>
        <w:rFonts w:hint="default"/>
      </w:rPr>
    </w:lvl>
    <w:lvl w:ilvl="1" w:tplc="DCDC7B50">
      <w:start w:val="1"/>
      <w:numFmt w:val="lowerLetter"/>
      <w:lvlText w:val="%2."/>
      <w:lvlJc w:val="left"/>
      <w:pPr>
        <w:ind w:left="1440" w:hanging="360"/>
      </w:pPr>
      <w:rPr>
        <w:strike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CA3813"/>
    <w:multiLevelType w:val="hybridMultilevel"/>
    <w:tmpl w:val="04A69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2A46B7"/>
    <w:multiLevelType w:val="multilevel"/>
    <w:tmpl w:val="20A6C490"/>
    <w:lvl w:ilvl="0">
      <w:start w:val="2"/>
      <w:numFmt w:val="decimal"/>
      <w:lvlText w:val="%1."/>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hint="default"/>
        <w:sz w:val="20"/>
      </w:rPr>
    </w:lvl>
    <w:lvl w:ilvl="2">
      <w:start w:val="1"/>
      <w:numFmt w:val="lowerLetter"/>
      <w:lvlText w:val="%3."/>
      <w:lvlJc w:val="left"/>
      <w:pPr>
        <w:tabs>
          <w:tab w:val="num" w:pos="2520"/>
        </w:tabs>
        <w:ind w:left="2520" w:hanging="360"/>
      </w:pPr>
    </w:lvl>
    <w:lvl w:ilvl="3">
      <w:start w:val="1"/>
      <w:numFmt w:val="lowerRoman"/>
      <w:lvlText w:val="%4."/>
      <w:lvlJc w:val="righ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7" w15:restartNumberingAfterBreak="0">
    <w:nsid w:val="206171CF"/>
    <w:multiLevelType w:val="hybridMultilevel"/>
    <w:tmpl w:val="B8B20536"/>
    <w:lvl w:ilvl="0" w:tplc="04090001">
      <w:start w:val="1"/>
      <w:numFmt w:val="bullet"/>
      <w:lvlText w:val=""/>
      <w:lvlJc w:val="left"/>
      <w:pPr>
        <w:ind w:left="2205" w:hanging="360"/>
      </w:pPr>
      <w:rPr>
        <w:rFonts w:ascii="Symbol" w:hAnsi="Symbol"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8" w15:restartNumberingAfterBreak="0">
    <w:nsid w:val="2293206E"/>
    <w:multiLevelType w:val="hybridMultilevel"/>
    <w:tmpl w:val="8966AC76"/>
    <w:lvl w:ilvl="0" w:tplc="0409000F">
      <w:start w:val="1"/>
      <w:numFmt w:val="decimal"/>
      <w:lvlText w:val="%1."/>
      <w:lvlJc w:val="left"/>
      <w:pPr>
        <w:tabs>
          <w:tab w:val="num" w:pos="1440"/>
        </w:tabs>
        <w:ind w:left="1440" w:hanging="360"/>
      </w:p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22B9572C"/>
    <w:multiLevelType w:val="hybridMultilevel"/>
    <w:tmpl w:val="D53AB9B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35418CF"/>
    <w:multiLevelType w:val="hybridMultilevel"/>
    <w:tmpl w:val="080ADF0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23EC4F69"/>
    <w:multiLevelType w:val="hybridMultilevel"/>
    <w:tmpl w:val="4EA8D1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2552E0D"/>
    <w:multiLevelType w:val="hybridMultilevel"/>
    <w:tmpl w:val="E94E15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2855AD6"/>
    <w:multiLevelType w:val="hybridMultilevel"/>
    <w:tmpl w:val="2DAEDC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3B85DD9"/>
    <w:multiLevelType w:val="hybridMultilevel"/>
    <w:tmpl w:val="D980C72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3CCC2BD5"/>
    <w:multiLevelType w:val="hybridMultilevel"/>
    <w:tmpl w:val="9022D3A2"/>
    <w:lvl w:ilvl="0" w:tplc="3720178C">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6" w15:restartNumberingAfterBreak="0">
    <w:nsid w:val="41EE0D9D"/>
    <w:multiLevelType w:val="hybridMultilevel"/>
    <w:tmpl w:val="0C0435C8"/>
    <w:lvl w:ilvl="0" w:tplc="04090001">
      <w:start w:val="1"/>
      <w:numFmt w:val="bullet"/>
      <w:lvlText w:val=""/>
      <w:lvlJc w:val="left"/>
      <w:pPr>
        <w:tabs>
          <w:tab w:val="num" w:pos="1000"/>
        </w:tabs>
        <w:ind w:left="1000" w:hanging="360"/>
      </w:pPr>
      <w:rPr>
        <w:rFonts w:ascii="Symbol" w:hAnsi="Symbol" w:hint="default"/>
      </w:rPr>
    </w:lvl>
    <w:lvl w:ilvl="1" w:tplc="04090003" w:tentative="1">
      <w:start w:val="1"/>
      <w:numFmt w:val="bullet"/>
      <w:lvlText w:val="o"/>
      <w:lvlJc w:val="left"/>
      <w:pPr>
        <w:tabs>
          <w:tab w:val="num" w:pos="1720"/>
        </w:tabs>
        <w:ind w:left="1720" w:hanging="360"/>
      </w:pPr>
      <w:rPr>
        <w:rFonts w:ascii="Courier New" w:hAnsi="Courier New" w:cs="Courier New" w:hint="default"/>
      </w:rPr>
    </w:lvl>
    <w:lvl w:ilvl="2" w:tplc="04090005" w:tentative="1">
      <w:start w:val="1"/>
      <w:numFmt w:val="bullet"/>
      <w:lvlText w:val=""/>
      <w:lvlJc w:val="left"/>
      <w:pPr>
        <w:tabs>
          <w:tab w:val="num" w:pos="2440"/>
        </w:tabs>
        <w:ind w:left="2440" w:hanging="360"/>
      </w:pPr>
      <w:rPr>
        <w:rFonts w:ascii="Wingdings" w:hAnsi="Wingdings" w:hint="default"/>
      </w:rPr>
    </w:lvl>
    <w:lvl w:ilvl="3" w:tplc="04090001" w:tentative="1">
      <w:start w:val="1"/>
      <w:numFmt w:val="bullet"/>
      <w:lvlText w:val=""/>
      <w:lvlJc w:val="left"/>
      <w:pPr>
        <w:tabs>
          <w:tab w:val="num" w:pos="3160"/>
        </w:tabs>
        <w:ind w:left="3160" w:hanging="360"/>
      </w:pPr>
      <w:rPr>
        <w:rFonts w:ascii="Symbol" w:hAnsi="Symbol" w:hint="default"/>
      </w:rPr>
    </w:lvl>
    <w:lvl w:ilvl="4" w:tplc="04090003" w:tentative="1">
      <w:start w:val="1"/>
      <w:numFmt w:val="bullet"/>
      <w:lvlText w:val="o"/>
      <w:lvlJc w:val="left"/>
      <w:pPr>
        <w:tabs>
          <w:tab w:val="num" w:pos="3880"/>
        </w:tabs>
        <w:ind w:left="3880" w:hanging="360"/>
      </w:pPr>
      <w:rPr>
        <w:rFonts w:ascii="Courier New" w:hAnsi="Courier New" w:cs="Courier New" w:hint="default"/>
      </w:rPr>
    </w:lvl>
    <w:lvl w:ilvl="5" w:tplc="04090005" w:tentative="1">
      <w:start w:val="1"/>
      <w:numFmt w:val="bullet"/>
      <w:lvlText w:val=""/>
      <w:lvlJc w:val="left"/>
      <w:pPr>
        <w:tabs>
          <w:tab w:val="num" w:pos="4600"/>
        </w:tabs>
        <w:ind w:left="4600" w:hanging="360"/>
      </w:pPr>
      <w:rPr>
        <w:rFonts w:ascii="Wingdings" w:hAnsi="Wingdings" w:hint="default"/>
      </w:rPr>
    </w:lvl>
    <w:lvl w:ilvl="6" w:tplc="04090001" w:tentative="1">
      <w:start w:val="1"/>
      <w:numFmt w:val="bullet"/>
      <w:lvlText w:val=""/>
      <w:lvlJc w:val="left"/>
      <w:pPr>
        <w:tabs>
          <w:tab w:val="num" w:pos="5320"/>
        </w:tabs>
        <w:ind w:left="5320" w:hanging="360"/>
      </w:pPr>
      <w:rPr>
        <w:rFonts w:ascii="Symbol" w:hAnsi="Symbol" w:hint="default"/>
      </w:rPr>
    </w:lvl>
    <w:lvl w:ilvl="7" w:tplc="04090003" w:tentative="1">
      <w:start w:val="1"/>
      <w:numFmt w:val="bullet"/>
      <w:lvlText w:val="o"/>
      <w:lvlJc w:val="left"/>
      <w:pPr>
        <w:tabs>
          <w:tab w:val="num" w:pos="6040"/>
        </w:tabs>
        <w:ind w:left="6040" w:hanging="360"/>
      </w:pPr>
      <w:rPr>
        <w:rFonts w:ascii="Courier New" w:hAnsi="Courier New" w:cs="Courier New" w:hint="default"/>
      </w:rPr>
    </w:lvl>
    <w:lvl w:ilvl="8" w:tplc="04090005" w:tentative="1">
      <w:start w:val="1"/>
      <w:numFmt w:val="bullet"/>
      <w:lvlText w:val=""/>
      <w:lvlJc w:val="left"/>
      <w:pPr>
        <w:tabs>
          <w:tab w:val="num" w:pos="6760"/>
        </w:tabs>
        <w:ind w:left="6760" w:hanging="360"/>
      </w:pPr>
      <w:rPr>
        <w:rFonts w:ascii="Wingdings" w:hAnsi="Wingdings" w:hint="default"/>
      </w:rPr>
    </w:lvl>
  </w:abstractNum>
  <w:abstractNum w:abstractNumId="17" w15:restartNumberingAfterBreak="0">
    <w:nsid w:val="464B00B5"/>
    <w:multiLevelType w:val="hybridMultilevel"/>
    <w:tmpl w:val="8966AC7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791415C"/>
    <w:multiLevelType w:val="hybridMultilevel"/>
    <w:tmpl w:val="94949F90"/>
    <w:lvl w:ilvl="0" w:tplc="C53E67D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D3078D5"/>
    <w:multiLevelType w:val="hybridMultilevel"/>
    <w:tmpl w:val="AED6CF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53DC6FC6"/>
    <w:multiLevelType w:val="hybridMultilevel"/>
    <w:tmpl w:val="87902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BE3EEC"/>
    <w:multiLevelType w:val="hybridMultilevel"/>
    <w:tmpl w:val="165060B2"/>
    <w:lvl w:ilvl="0" w:tplc="F8B60E78">
      <w:start w:val="1"/>
      <w:numFmt w:val="decimal"/>
      <w:lvlText w:val="%1)"/>
      <w:lvlJc w:val="left"/>
      <w:pPr>
        <w:tabs>
          <w:tab w:val="num" w:pos="2520"/>
        </w:tabs>
        <w:ind w:left="2520" w:hanging="360"/>
      </w:pPr>
      <w:rPr>
        <w:rFonts w:hint="default"/>
      </w:rPr>
    </w:lvl>
    <w:lvl w:ilvl="1" w:tplc="0409001B">
      <w:start w:val="1"/>
      <w:numFmt w:val="lowerRoman"/>
      <w:lvlText w:val="%2."/>
      <w:lvlJc w:val="righ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2" w15:restartNumberingAfterBreak="0">
    <w:nsid w:val="561232E7"/>
    <w:multiLevelType w:val="hybridMultilevel"/>
    <w:tmpl w:val="1A9C58A6"/>
    <w:lvl w:ilvl="0" w:tplc="DCDC7B50">
      <w:start w:val="1"/>
      <w:numFmt w:val="lowerLetter"/>
      <w:lvlText w:val="%1."/>
      <w:lvlJc w:val="left"/>
      <w:pPr>
        <w:ind w:left="144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EA50BB"/>
    <w:multiLevelType w:val="multilevel"/>
    <w:tmpl w:val="D9FE891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4" w15:restartNumberingAfterBreak="0">
    <w:nsid w:val="5EC202A8"/>
    <w:multiLevelType w:val="hybridMultilevel"/>
    <w:tmpl w:val="432ECCD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648C1D03"/>
    <w:multiLevelType w:val="hybridMultilevel"/>
    <w:tmpl w:val="2B942862"/>
    <w:lvl w:ilvl="0" w:tplc="20D853FA">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6" w15:restartNumberingAfterBreak="0">
    <w:nsid w:val="6B8062C7"/>
    <w:multiLevelType w:val="hybridMultilevel"/>
    <w:tmpl w:val="04AEC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6D2A45"/>
    <w:multiLevelType w:val="hybridMultilevel"/>
    <w:tmpl w:val="C0AC352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9821F5"/>
    <w:multiLevelType w:val="multilevel"/>
    <w:tmpl w:val="EBF0196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9" w15:restartNumberingAfterBreak="0">
    <w:nsid w:val="76FF7399"/>
    <w:multiLevelType w:val="hybridMultilevel"/>
    <w:tmpl w:val="28604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C85F9E"/>
    <w:multiLevelType w:val="hybridMultilevel"/>
    <w:tmpl w:val="5EFAF3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A114C1"/>
    <w:multiLevelType w:val="multilevel"/>
    <w:tmpl w:val="B3929AB6"/>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200"/>
        </w:tabs>
        <w:ind w:left="7200" w:hanging="1440"/>
      </w:pPr>
      <w:rPr>
        <w:rFonts w:hint="default"/>
        <w:b/>
      </w:rPr>
    </w:lvl>
  </w:abstractNum>
  <w:abstractNum w:abstractNumId="32" w15:restartNumberingAfterBreak="0">
    <w:nsid w:val="7DA918DE"/>
    <w:multiLevelType w:val="hybridMultilevel"/>
    <w:tmpl w:val="87125EEC"/>
    <w:lvl w:ilvl="0" w:tplc="F63AB922">
      <w:start w:val="8"/>
      <w:numFmt w:val="decimal"/>
      <w:lvlText w:val="%1)"/>
      <w:lvlJc w:val="left"/>
      <w:pPr>
        <w:tabs>
          <w:tab w:val="num" w:pos="2520"/>
        </w:tabs>
        <w:ind w:left="2520" w:hanging="360"/>
      </w:pPr>
      <w:rPr>
        <w:rFonts w:hint="default"/>
        <w:strike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num w:numId="1" w16cid:durableId="1160461912">
    <w:abstractNumId w:val="0"/>
  </w:num>
  <w:num w:numId="2" w16cid:durableId="2003927028">
    <w:abstractNumId w:val="31"/>
  </w:num>
  <w:num w:numId="3" w16cid:durableId="2012026146">
    <w:abstractNumId w:val="17"/>
  </w:num>
  <w:num w:numId="4" w16cid:durableId="1964772369">
    <w:abstractNumId w:val="21"/>
  </w:num>
  <w:num w:numId="5" w16cid:durableId="421996205">
    <w:abstractNumId w:val="1"/>
  </w:num>
  <w:num w:numId="6" w16cid:durableId="85734012">
    <w:abstractNumId w:val="24"/>
  </w:num>
  <w:num w:numId="7" w16cid:durableId="53893382">
    <w:abstractNumId w:val="8"/>
  </w:num>
  <w:num w:numId="8" w16cid:durableId="149488528">
    <w:abstractNumId w:val="32"/>
  </w:num>
  <w:num w:numId="9" w16cid:durableId="1763259883">
    <w:abstractNumId w:val="23"/>
  </w:num>
  <w:num w:numId="10" w16cid:durableId="790898563">
    <w:abstractNumId w:val="2"/>
  </w:num>
  <w:num w:numId="11" w16cid:durableId="175658859">
    <w:abstractNumId w:val="6"/>
  </w:num>
  <w:num w:numId="12" w16cid:durableId="1621303314">
    <w:abstractNumId w:val="3"/>
  </w:num>
  <w:num w:numId="13" w16cid:durableId="2103379686">
    <w:abstractNumId w:val="28"/>
  </w:num>
  <w:num w:numId="14" w16cid:durableId="1439259115">
    <w:abstractNumId w:val="25"/>
  </w:num>
  <w:num w:numId="15" w16cid:durableId="1426269380">
    <w:abstractNumId w:val="18"/>
  </w:num>
  <w:num w:numId="16" w16cid:durableId="630945097">
    <w:abstractNumId w:val="16"/>
  </w:num>
  <w:num w:numId="17" w16cid:durableId="1338074040">
    <w:abstractNumId w:val="15"/>
  </w:num>
  <w:num w:numId="18" w16cid:durableId="1487748862">
    <w:abstractNumId w:val="13"/>
  </w:num>
  <w:num w:numId="19" w16cid:durableId="1538742001">
    <w:abstractNumId w:val="19"/>
  </w:num>
  <w:num w:numId="20" w16cid:durableId="542984553">
    <w:abstractNumId w:val="14"/>
  </w:num>
  <w:num w:numId="21" w16cid:durableId="201332615">
    <w:abstractNumId w:val="7"/>
  </w:num>
  <w:num w:numId="22" w16cid:durableId="1335912295">
    <w:abstractNumId w:val="10"/>
  </w:num>
  <w:num w:numId="23" w16cid:durableId="436947577">
    <w:abstractNumId w:val="12"/>
  </w:num>
  <w:num w:numId="24" w16cid:durableId="1124930227">
    <w:abstractNumId w:val="9"/>
  </w:num>
  <w:num w:numId="25" w16cid:durableId="132791243">
    <w:abstractNumId w:val="11"/>
  </w:num>
  <w:num w:numId="26" w16cid:durableId="208416133">
    <w:abstractNumId w:val="26"/>
  </w:num>
  <w:num w:numId="27" w16cid:durableId="1938249842">
    <w:abstractNumId w:val="20"/>
  </w:num>
  <w:num w:numId="28" w16cid:durableId="1657104716">
    <w:abstractNumId w:val="29"/>
  </w:num>
  <w:num w:numId="29" w16cid:durableId="1760827683">
    <w:abstractNumId w:val="27"/>
  </w:num>
  <w:num w:numId="30" w16cid:durableId="191696541">
    <w:abstractNumId w:val="5"/>
  </w:num>
  <w:num w:numId="31" w16cid:durableId="1321929931">
    <w:abstractNumId w:val="4"/>
  </w:num>
  <w:num w:numId="32" w16cid:durableId="148837193">
    <w:abstractNumId w:val="30"/>
  </w:num>
  <w:num w:numId="33" w16cid:durableId="20262478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1B3"/>
    <w:rsid w:val="0001333F"/>
    <w:rsid w:val="00016AFE"/>
    <w:rsid w:val="00017607"/>
    <w:rsid w:val="00017CF0"/>
    <w:rsid w:val="00032D96"/>
    <w:rsid w:val="00035360"/>
    <w:rsid w:val="000402F4"/>
    <w:rsid w:val="00047DF9"/>
    <w:rsid w:val="00054F6F"/>
    <w:rsid w:val="00056526"/>
    <w:rsid w:val="0005655A"/>
    <w:rsid w:val="00057029"/>
    <w:rsid w:val="00066A86"/>
    <w:rsid w:val="00072DA2"/>
    <w:rsid w:val="000776DD"/>
    <w:rsid w:val="00077C4E"/>
    <w:rsid w:val="00084BCC"/>
    <w:rsid w:val="00085565"/>
    <w:rsid w:val="00095134"/>
    <w:rsid w:val="000B01CE"/>
    <w:rsid w:val="000B4465"/>
    <w:rsid w:val="000B7CFE"/>
    <w:rsid w:val="000D0C72"/>
    <w:rsid w:val="000D3D73"/>
    <w:rsid w:val="000D59EC"/>
    <w:rsid w:val="000D6608"/>
    <w:rsid w:val="000D66F0"/>
    <w:rsid w:val="000E54A5"/>
    <w:rsid w:val="000F1948"/>
    <w:rsid w:val="000F42C7"/>
    <w:rsid w:val="000F4A7C"/>
    <w:rsid w:val="00101614"/>
    <w:rsid w:val="00102E0A"/>
    <w:rsid w:val="001061CC"/>
    <w:rsid w:val="00106822"/>
    <w:rsid w:val="001102C4"/>
    <w:rsid w:val="001139CC"/>
    <w:rsid w:val="00116C58"/>
    <w:rsid w:val="00123200"/>
    <w:rsid w:val="00135EC1"/>
    <w:rsid w:val="00141273"/>
    <w:rsid w:val="00142B55"/>
    <w:rsid w:val="00146620"/>
    <w:rsid w:val="001529B2"/>
    <w:rsid w:val="001607BC"/>
    <w:rsid w:val="001608B5"/>
    <w:rsid w:val="00162E16"/>
    <w:rsid w:val="0017696E"/>
    <w:rsid w:val="0018405E"/>
    <w:rsid w:val="001853DD"/>
    <w:rsid w:val="001902EB"/>
    <w:rsid w:val="00194311"/>
    <w:rsid w:val="00196A6D"/>
    <w:rsid w:val="001A5320"/>
    <w:rsid w:val="001C2D28"/>
    <w:rsid w:val="001E0DFE"/>
    <w:rsid w:val="001E46CC"/>
    <w:rsid w:val="001E64F8"/>
    <w:rsid w:val="001E6DC6"/>
    <w:rsid w:val="001E7770"/>
    <w:rsid w:val="001F2149"/>
    <w:rsid w:val="00203C47"/>
    <w:rsid w:val="00207F85"/>
    <w:rsid w:val="002114B3"/>
    <w:rsid w:val="00221CBA"/>
    <w:rsid w:val="002250FA"/>
    <w:rsid w:val="002542CD"/>
    <w:rsid w:val="00260269"/>
    <w:rsid w:val="00264EB8"/>
    <w:rsid w:val="00273036"/>
    <w:rsid w:val="002744FD"/>
    <w:rsid w:val="00275547"/>
    <w:rsid w:val="0027786E"/>
    <w:rsid w:val="002814B9"/>
    <w:rsid w:val="0029339C"/>
    <w:rsid w:val="00293E1A"/>
    <w:rsid w:val="002A034F"/>
    <w:rsid w:val="002A04EE"/>
    <w:rsid w:val="002A61BD"/>
    <w:rsid w:val="002B5BBD"/>
    <w:rsid w:val="002C0DF1"/>
    <w:rsid w:val="002C7986"/>
    <w:rsid w:val="002D12DD"/>
    <w:rsid w:val="002D170A"/>
    <w:rsid w:val="002D6B2C"/>
    <w:rsid w:val="002D7721"/>
    <w:rsid w:val="002E2293"/>
    <w:rsid w:val="002E241F"/>
    <w:rsid w:val="002E41CA"/>
    <w:rsid w:val="002F3786"/>
    <w:rsid w:val="002F4B91"/>
    <w:rsid w:val="002F5EE8"/>
    <w:rsid w:val="0030083B"/>
    <w:rsid w:val="00304069"/>
    <w:rsid w:val="0031320F"/>
    <w:rsid w:val="003151F6"/>
    <w:rsid w:val="00333308"/>
    <w:rsid w:val="00350D85"/>
    <w:rsid w:val="003510C0"/>
    <w:rsid w:val="003649B4"/>
    <w:rsid w:val="00374828"/>
    <w:rsid w:val="00383FDE"/>
    <w:rsid w:val="00393810"/>
    <w:rsid w:val="00394B77"/>
    <w:rsid w:val="003952E1"/>
    <w:rsid w:val="0039533D"/>
    <w:rsid w:val="003A154C"/>
    <w:rsid w:val="003A4ADD"/>
    <w:rsid w:val="003C08F4"/>
    <w:rsid w:val="003D2C87"/>
    <w:rsid w:val="003D6A7F"/>
    <w:rsid w:val="003D7BB5"/>
    <w:rsid w:val="003E3D64"/>
    <w:rsid w:val="003E4791"/>
    <w:rsid w:val="003F35E7"/>
    <w:rsid w:val="003F4A12"/>
    <w:rsid w:val="004036D5"/>
    <w:rsid w:val="00414D04"/>
    <w:rsid w:val="004162C6"/>
    <w:rsid w:val="00427051"/>
    <w:rsid w:val="00443C20"/>
    <w:rsid w:val="004506C3"/>
    <w:rsid w:val="004511A2"/>
    <w:rsid w:val="0048515B"/>
    <w:rsid w:val="00485F34"/>
    <w:rsid w:val="00490E0A"/>
    <w:rsid w:val="00491E55"/>
    <w:rsid w:val="00496C76"/>
    <w:rsid w:val="004A7377"/>
    <w:rsid w:val="004A7DF0"/>
    <w:rsid w:val="004B2513"/>
    <w:rsid w:val="004C2661"/>
    <w:rsid w:val="004D21EF"/>
    <w:rsid w:val="004D7032"/>
    <w:rsid w:val="004E4288"/>
    <w:rsid w:val="004E4A74"/>
    <w:rsid w:val="004E6D87"/>
    <w:rsid w:val="004F23E3"/>
    <w:rsid w:val="004F48B0"/>
    <w:rsid w:val="004F711C"/>
    <w:rsid w:val="004F739A"/>
    <w:rsid w:val="00504C26"/>
    <w:rsid w:val="005206BD"/>
    <w:rsid w:val="005253FF"/>
    <w:rsid w:val="00527810"/>
    <w:rsid w:val="00530571"/>
    <w:rsid w:val="00530D0C"/>
    <w:rsid w:val="00534C7B"/>
    <w:rsid w:val="005404B8"/>
    <w:rsid w:val="005415E7"/>
    <w:rsid w:val="00541A29"/>
    <w:rsid w:val="00545681"/>
    <w:rsid w:val="005504F0"/>
    <w:rsid w:val="0055352A"/>
    <w:rsid w:val="00557879"/>
    <w:rsid w:val="00561BAD"/>
    <w:rsid w:val="00564617"/>
    <w:rsid w:val="00567FFD"/>
    <w:rsid w:val="00570C11"/>
    <w:rsid w:val="00572684"/>
    <w:rsid w:val="00575ADB"/>
    <w:rsid w:val="00582CA2"/>
    <w:rsid w:val="00583938"/>
    <w:rsid w:val="00584BAD"/>
    <w:rsid w:val="00587B5F"/>
    <w:rsid w:val="0059045F"/>
    <w:rsid w:val="005A33B2"/>
    <w:rsid w:val="005A47EF"/>
    <w:rsid w:val="005A56D2"/>
    <w:rsid w:val="005A57FC"/>
    <w:rsid w:val="005A6EA6"/>
    <w:rsid w:val="005A7736"/>
    <w:rsid w:val="005B0C55"/>
    <w:rsid w:val="005B38F1"/>
    <w:rsid w:val="005B6C96"/>
    <w:rsid w:val="005C0FF7"/>
    <w:rsid w:val="005C12FA"/>
    <w:rsid w:val="005C21E1"/>
    <w:rsid w:val="005D053A"/>
    <w:rsid w:val="005D103E"/>
    <w:rsid w:val="005D42AF"/>
    <w:rsid w:val="005F1855"/>
    <w:rsid w:val="005F2336"/>
    <w:rsid w:val="00607E3D"/>
    <w:rsid w:val="00617518"/>
    <w:rsid w:val="00617D0D"/>
    <w:rsid w:val="00627B14"/>
    <w:rsid w:val="006300F2"/>
    <w:rsid w:val="0063304C"/>
    <w:rsid w:val="006356C8"/>
    <w:rsid w:val="006548C4"/>
    <w:rsid w:val="006640FA"/>
    <w:rsid w:val="006644DA"/>
    <w:rsid w:val="0067380C"/>
    <w:rsid w:val="00673DFA"/>
    <w:rsid w:val="00682A92"/>
    <w:rsid w:val="00683E19"/>
    <w:rsid w:val="00685FAA"/>
    <w:rsid w:val="006873A4"/>
    <w:rsid w:val="006A06D4"/>
    <w:rsid w:val="006A18AE"/>
    <w:rsid w:val="006A352C"/>
    <w:rsid w:val="006A5771"/>
    <w:rsid w:val="006B07B1"/>
    <w:rsid w:val="006B2B88"/>
    <w:rsid w:val="006B35B2"/>
    <w:rsid w:val="006C2FCE"/>
    <w:rsid w:val="006C5D4B"/>
    <w:rsid w:val="006C6DD6"/>
    <w:rsid w:val="006C75EF"/>
    <w:rsid w:val="006D52D8"/>
    <w:rsid w:val="006D5E64"/>
    <w:rsid w:val="006E04D1"/>
    <w:rsid w:val="006E7B23"/>
    <w:rsid w:val="006F268C"/>
    <w:rsid w:val="006F4B80"/>
    <w:rsid w:val="00711B0D"/>
    <w:rsid w:val="007224D3"/>
    <w:rsid w:val="00722B0B"/>
    <w:rsid w:val="007314F9"/>
    <w:rsid w:val="00731DA0"/>
    <w:rsid w:val="00761241"/>
    <w:rsid w:val="00767307"/>
    <w:rsid w:val="00770A62"/>
    <w:rsid w:val="007718F4"/>
    <w:rsid w:val="0078261D"/>
    <w:rsid w:val="00792316"/>
    <w:rsid w:val="00795138"/>
    <w:rsid w:val="007A0678"/>
    <w:rsid w:val="007A093B"/>
    <w:rsid w:val="007A71E5"/>
    <w:rsid w:val="007B6E65"/>
    <w:rsid w:val="007C0929"/>
    <w:rsid w:val="007C4513"/>
    <w:rsid w:val="007C773E"/>
    <w:rsid w:val="007D3D5D"/>
    <w:rsid w:val="007E190C"/>
    <w:rsid w:val="007F09A0"/>
    <w:rsid w:val="007F5BC4"/>
    <w:rsid w:val="007F6916"/>
    <w:rsid w:val="0080018E"/>
    <w:rsid w:val="008047B4"/>
    <w:rsid w:val="00810A0C"/>
    <w:rsid w:val="00812B3F"/>
    <w:rsid w:val="00823662"/>
    <w:rsid w:val="00827B44"/>
    <w:rsid w:val="00833455"/>
    <w:rsid w:val="00835839"/>
    <w:rsid w:val="00836F20"/>
    <w:rsid w:val="00837F63"/>
    <w:rsid w:val="00854EC1"/>
    <w:rsid w:val="008569A5"/>
    <w:rsid w:val="00856F9F"/>
    <w:rsid w:val="00860643"/>
    <w:rsid w:val="0086433D"/>
    <w:rsid w:val="0086533B"/>
    <w:rsid w:val="00865661"/>
    <w:rsid w:val="00880195"/>
    <w:rsid w:val="00883DD3"/>
    <w:rsid w:val="008843E4"/>
    <w:rsid w:val="00892089"/>
    <w:rsid w:val="00893575"/>
    <w:rsid w:val="00897955"/>
    <w:rsid w:val="008A017A"/>
    <w:rsid w:val="008A1DC1"/>
    <w:rsid w:val="008B59ED"/>
    <w:rsid w:val="008C0451"/>
    <w:rsid w:val="008C2545"/>
    <w:rsid w:val="008C28E9"/>
    <w:rsid w:val="008C3267"/>
    <w:rsid w:val="008C3A91"/>
    <w:rsid w:val="008C4E0D"/>
    <w:rsid w:val="008E68BB"/>
    <w:rsid w:val="008F6458"/>
    <w:rsid w:val="00923D2D"/>
    <w:rsid w:val="00930E2B"/>
    <w:rsid w:val="0093366A"/>
    <w:rsid w:val="00934FE3"/>
    <w:rsid w:val="009366E0"/>
    <w:rsid w:val="00940654"/>
    <w:rsid w:val="00946449"/>
    <w:rsid w:val="009512E2"/>
    <w:rsid w:val="00953E37"/>
    <w:rsid w:val="00956BA3"/>
    <w:rsid w:val="009639B8"/>
    <w:rsid w:val="0096508C"/>
    <w:rsid w:val="0097129A"/>
    <w:rsid w:val="00973D88"/>
    <w:rsid w:val="009800BE"/>
    <w:rsid w:val="00984B9F"/>
    <w:rsid w:val="00986914"/>
    <w:rsid w:val="00987283"/>
    <w:rsid w:val="0099234B"/>
    <w:rsid w:val="00993152"/>
    <w:rsid w:val="00993AF0"/>
    <w:rsid w:val="00994C71"/>
    <w:rsid w:val="009B1D16"/>
    <w:rsid w:val="009B1D62"/>
    <w:rsid w:val="009B4F1C"/>
    <w:rsid w:val="009B5DE6"/>
    <w:rsid w:val="009C3683"/>
    <w:rsid w:val="009C6AE8"/>
    <w:rsid w:val="009C76EE"/>
    <w:rsid w:val="009C79AB"/>
    <w:rsid w:val="009D2540"/>
    <w:rsid w:val="009E7546"/>
    <w:rsid w:val="009F4868"/>
    <w:rsid w:val="009F491A"/>
    <w:rsid w:val="009F5345"/>
    <w:rsid w:val="009F72FD"/>
    <w:rsid w:val="00A00593"/>
    <w:rsid w:val="00A02BFC"/>
    <w:rsid w:val="00A04057"/>
    <w:rsid w:val="00A0723B"/>
    <w:rsid w:val="00A07CE9"/>
    <w:rsid w:val="00A176B0"/>
    <w:rsid w:val="00A24E61"/>
    <w:rsid w:val="00A303D3"/>
    <w:rsid w:val="00A325FE"/>
    <w:rsid w:val="00A334EE"/>
    <w:rsid w:val="00A404AE"/>
    <w:rsid w:val="00A56105"/>
    <w:rsid w:val="00A570A3"/>
    <w:rsid w:val="00A57284"/>
    <w:rsid w:val="00A634B6"/>
    <w:rsid w:val="00A67312"/>
    <w:rsid w:val="00A80877"/>
    <w:rsid w:val="00A8214E"/>
    <w:rsid w:val="00A86257"/>
    <w:rsid w:val="00A91DD7"/>
    <w:rsid w:val="00A941B3"/>
    <w:rsid w:val="00AB0B0B"/>
    <w:rsid w:val="00AB7F21"/>
    <w:rsid w:val="00AC27F0"/>
    <w:rsid w:val="00AC293E"/>
    <w:rsid w:val="00AC70AE"/>
    <w:rsid w:val="00AC7E83"/>
    <w:rsid w:val="00AD62FC"/>
    <w:rsid w:val="00AE429E"/>
    <w:rsid w:val="00AE6557"/>
    <w:rsid w:val="00B06CE1"/>
    <w:rsid w:val="00B16D96"/>
    <w:rsid w:val="00B248D3"/>
    <w:rsid w:val="00B30B3A"/>
    <w:rsid w:val="00B33DDD"/>
    <w:rsid w:val="00B37D4C"/>
    <w:rsid w:val="00B42D8B"/>
    <w:rsid w:val="00B43341"/>
    <w:rsid w:val="00B457A9"/>
    <w:rsid w:val="00B45F97"/>
    <w:rsid w:val="00B5002A"/>
    <w:rsid w:val="00B655D3"/>
    <w:rsid w:val="00B676FC"/>
    <w:rsid w:val="00B746F1"/>
    <w:rsid w:val="00B80AFC"/>
    <w:rsid w:val="00B8620C"/>
    <w:rsid w:val="00B97739"/>
    <w:rsid w:val="00BA3030"/>
    <w:rsid w:val="00BA3C9F"/>
    <w:rsid w:val="00BC45D7"/>
    <w:rsid w:val="00BE4437"/>
    <w:rsid w:val="00BF4F14"/>
    <w:rsid w:val="00C0040A"/>
    <w:rsid w:val="00C112C9"/>
    <w:rsid w:val="00C16CFC"/>
    <w:rsid w:val="00C31974"/>
    <w:rsid w:val="00C37B14"/>
    <w:rsid w:val="00C439B9"/>
    <w:rsid w:val="00C443D4"/>
    <w:rsid w:val="00C541CC"/>
    <w:rsid w:val="00C55222"/>
    <w:rsid w:val="00C5780B"/>
    <w:rsid w:val="00C64C16"/>
    <w:rsid w:val="00C736AC"/>
    <w:rsid w:val="00C8243F"/>
    <w:rsid w:val="00C86A07"/>
    <w:rsid w:val="00CA0766"/>
    <w:rsid w:val="00CA0B8E"/>
    <w:rsid w:val="00CA7846"/>
    <w:rsid w:val="00CB0B32"/>
    <w:rsid w:val="00CC55A7"/>
    <w:rsid w:val="00CC7BC5"/>
    <w:rsid w:val="00CD1065"/>
    <w:rsid w:val="00CD1F38"/>
    <w:rsid w:val="00CD24CA"/>
    <w:rsid w:val="00CD2866"/>
    <w:rsid w:val="00CD3C17"/>
    <w:rsid w:val="00CE4AE9"/>
    <w:rsid w:val="00CE4D1D"/>
    <w:rsid w:val="00CE4EFE"/>
    <w:rsid w:val="00CE5399"/>
    <w:rsid w:val="00CE7C2F"/>
    <w:rsid w:val="00CF0229"/>
    <w:rsid w:val="00D1126F"/>
    <w:rsid w:val="00D2070D"/>
    <w:rsid w:val="00D35DA7"/>
    <w:rsid w:val="00D4755F"/>
    <w:rsid w:val="00D526B4"/>
    <w:rsid w:val="00D53D3A"/>
    <w:rsid w:val="00D60D25"/>
    <w:rsid w:val="00D80CEF"/>
    <w:rsid w:val="00D822E6"/>
    <w:rsid w:val="00D82F91"/>
    <w:rsid w:val="00D8778A"/>
    <w:rsid w:val="00D91EAB"/>
    <w:rsid w:val="00D96A7B"/>
    <w:rsid w:val="00DA0FFC"/>
    <w:rsid w:val="00DA2151"/>
    <w:rsid w:val="00DB4F91"/>
    <w:rsid w:val="00DC04EF"/>
    <w:rsid w:val="00DC4A60"/>
    <w:rsid w:val="00DC5A20"/>
    <w:rsid w:val="00DD5372"/>
    <w:rsid w:val="00DD6628"/>
    <w:rsid w:val="00DD6E4D"/>
    <w:rsid w:val="00DE2135"/>
    <w:rsid w:val="00DF2FF1"/>
    <w:rsid w:val="00DF37E2"/>
    <w:rsid w:val="00DF3E41"/>
    <w:rsid w:val="00DF7B8E"/>
    <w:rsid w:val="00E005F8"/>
    <w:rsid w:val="00E00AE9"/>
    <w:rsid w:val="00E0289D"/>
    <w:rsid w:val="00E05AAC"/>
    <w:rsid w:val="00E11081"/>
    <w:rsid w:val="00E12E5D"/>
    <w:rsid w:val="00E13BC9"/>
    <w:rsid w:val="00E16A3B"/>
    <w:rsid w:val="00E248E9"/>
    <w:rsid w:val="00E271F7"/>
    <w:rsid w:val="00E42347"/>
    <w:rsid w:val="00E51856"/>
    <w:rsid w:val="00E56305"/>
    <w:rsid w:val="00E76F99"/>
    <w:rsid w:val="00E84F3D"/>
    <w:rsid w:val="00E86688"/>
    <w:rsid w:val="00E905FF"/>
    <w:rsid w:val="00E96DEF"/>
    <w:rsid w:val="00EA1D85"/>
    <w:rsid w:val="00EA3555"/>
    <w:rsid w:val="00EB608C"/>
    <w:rsid w:val="00EC34F6"/>
    <w:rsid w:val="00ED0489"/>
    <w:rsid w:val="00ED6261"/>
    <w:rsid w:val="00EE5EDC"/>
    <w:rsid w:val="00F00D62"/>
    <w:rsid w:val="00F04066"/>
    <w:rsid w:val="00F106F7"/>
    <w:rsid w:val="00F13FD9"/>
    <w:rsid w:val="00F162DB"/>
    <w:rsid w:val="00F171EB"/>
    <w:rsid w:val="00F22450"/>
    <w:rsid w:val="00F22727"/>
    <w:rsid w:val="00F250F9"/>
    <w:rsid w:val="00F31342"/>
    <w:rsid w:val="00F33018"/>
    <w:rsid w:val="00F3350D"/>
    <w:rsid w:val="00F35691"/>
    <w:rsid w:val="00F3763A"/>
    <w:rsid w:val="00F3765F"/>
    <w:rsid w:val="00F4332F"/>
    <w:rsid w:val="00F608AC"/>
    <w:rsid w:val="00F80964"/>
    <w:rsid w:val="00F83003"/>
    <w:rsid w:val="00FA338C"/>
    <w:rsid w:val="00FA3747"/>
    <w:rsid w:val="00FA710F"/>
    <w:rsid w:val="00FB54C1"/>
    <w:rsid w:val="00FB7693"/>
    <w:rsid w:val="00FB7EDB"/>
    <w:rsid w:val="00FE26B2"/>
    <w:rsid w:val="00FE292C"/>
    <w:rsid w:val="00FF2A51"/>
    <w:rsid w:val="00FF3610"/>
    <w:rsid w:val="00FF4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01E04C"/>
  <w15:chartTrackingRefBased/>
  <w15:docId w15:val="{026F5ECA-D138-40F8-836F-25C12FE36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z w:val="22"/>
    </w:rPr>
  </w:style>
  <w:style w:type="paragraph" w:styleId="Heading2">
    <w:name w:val="heading 2"/>
    <w:basedOn w:val="Normal"/>
    <w:next w:val="Normal"/>
    <w:qFormat/>
    <w:pPr>
      <w:keepNext/>
      <w:ind w:left="720"/>
      <w:outlineLvl w:val="1"/>
    </w:pPr>
    <w:rPr>
      <w:b/>
      <w:bCs/>
      <w:sz w:val="22"/>
      <w:u w:val="single"/>
    </w:rPr>
  </w:style>
  <w:style w:type="paragraph" w:styleId="Heading3">
    <w:name w:val="heading 3"/>
    <w:basedOn w:val="Normal"/>
    <w:next w:val="Normal"/>
    <w:qFormat/>
    <w:pPr>
      <w:keepNext/>
      <w:ind w:left="1440"/>
      <w:outlineLvl w:val="2"/>
    </w:pPr>
    <w:rPr>
      <w:b/>
      <w:bCs/>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
    <w:name w:val="Style1"/>
    <w:basedOn w:val="ListBullet"/>
    <w:pPr>
      <w:numPr>
        <w:numId w:val="0"/>
      </w:numPr>
      <w:tabs>
        <w:tab w:val="left" w:pos="180"/>
      </w:tabs>
    </w:pPr>
    <w:rPr>
      <w:szCs w:val="20"/>
    </w:rPr>
  </w:style>
  <w:style w:type="paragraph" w:styleId="Header">
    <w:name w:val="header"/>
    <w:basedOn w:val="Normal"/>
    <w:pPr>
      <w:tabs>
        <w:tab w:val="center" w:pos="4320"/>
        <w:tab w:val="right" w:pos="8640"/>
      </w:tabs>
    </w:pPr>
    <w:rPr>
      <w:szCs w:val="20"/>
    </w:rPr>
  </w:style>
  <w:style w:type="paragraph" w:styleId="ListBullet">
    <w:name w:val="List Bullet"/>
    <w:basedOn w:val="Normal"/>
    <w:autoRedefine/>
    <w:pPr>
      <w:numPr>
        <w:numId w:val="1"/>
      </w:numPr>
    </w:pPr>
  </w:style>
  <w:style w:type="paragraph" w:styleId="Footer">
    <w:name w:val="footer"/>
    <w:basedOn w:val="Normal"/>
    <w:pPr>
      <w:tabs>
        <w:tab w:val="center" w:pos="4320"/>
        <w:tab w:val="right" w:pos="8640"/>
      </w:tabs>
    </w:pPr>
  </w:style>
  <w:style w:type="paragraph" w:styleId="BodyTextIndent">
    <w:name w:val="Body Text Indent"/>
    <w:basedOn w:val="Normal"/>
    <w:link w:val="BodyTextIndentChar"/>
    <w:pPr>
      <w:ind w:left="1440"/>
    </w:pPr>
    <w:rPr>
      <w:sz w:val="22"/>
    </w:rPr>
  </w:style>
  <w:style w:type="paragraph" w:styleId="BodyTextIndent2">
    <w:name w:val="Body Text Indent 2"/>
    <w:basedOn w:val="Normal"/>
    <w:pPr>
      <w:ind w:left="2160"/>
    </w:pPr>
    <w:rPr>
      <w:sz w:val="22"/>
    </w:rPr>
  </w:style>
  <w:style w:type="paragraph" w:styleId="BodyTextIndent3">
    <w:name w:val="Body Text Indent 3"/>
    <w:basedOn w:val="Normal"/>
    <w:pPr>
      <w:ind w:left="1440"/>
    </w:pPr>
  </w:style>
  <w:style w:type="character" w:styleId="Hyperlink">
    <w:name w:val="Hyperlink"/>
    <w:rPr>
      <w:color w:val="660000"/>
      <w:u w:val="single"/>
    </w:rPr>
  </w:style>
  <w:style w:type="character" w:styleId="FollowedHyperlink">
    <w:name w:val="FollowedHyperlink"/>
    <w:rPr>
      <w:color w:val="800080"/>
      <w:u w:val="single"/>
    </w:rPr>
  </w:style>
  <w:style w:type="paragraph" w:styleId="NormalWeb">
    <w:name w:val="Normal (Web)"/>
    <w:basedOn w:val="Normal"/>
    <w:uiPriority w:val="99"/>
    <w:pPr>
      <w:spacing w:before="100" w:beforeAutospacing="1" w:after="100" w:afterAutospacing="1"/>
    </w:pPr>
  </w:style>
  <w:style w:type="paragraph" w:customStyle="1" w:styleId="Default">
    <w:name w:val="Default"/>
    <w:rsid w:val="008843E4"/>
    <w:pPr>
      <w:autoSpaceDE w:val="0"/>
      <w:autoSpaceDN w:val="0"/>
      <w:adjustRightInd w:val="0"/>
    </w:pPr>
    <w:rPr>
      <w:color w:val="000000"/>
      <w:sz w:val="24"/>
      <w:szCs w:val="24"/>
    </w:rPr>
  </w:style>
  <w:style w:type="character" w:customStyle="1" w:styleId="JeaneeVelders">
    <w:name w:val="Jeanee Velders"/>
    <w:semiHidden/>
    <w:rsid w:val="00260269"/>
    <w:rPr>
      <w:rFonts w:ascii="Arial" w:hAnsi="Arial" w:cs="Arial"/>
      <w:color w:val="auto"/>
      <w:sz w:val="20"/>
      <w:szCs w:val="20"/>
    </w:rPr>
  </w:style>
  <w:style w:type="paragraph" w:styleId="BalloonText">
    <w:name w:val="Balloon Text"/>
    <w:basedOn w:val="Normal"/>
    <w:link w:val="BalloonTextChar"/>
    <w:rsid w:val="00146620"/>
    <w:rPr>
      <w:rFonts w:ascii="Tahoma" w:hAnsi="Tahoma" w:cs="Tahoma"/>
      <w:sz w:val="16"/>
      <w:szCs w:val="16"/>
    </w:rPr>
  </w:style>
  <w:style w:type="character" w:customStyle="1" w:styleId="BalloonTextChar">
    <w:name w:val="Balloon Text Char"/>
    <w:link w:val="BalloonText"/>
    <w:rsid w:val="00146620"/>
    <w:rPr>
      <w:rFonts w:ascii="Tahoma" w:hAnsi="Tahoma" w:cs="Tahoma"/>
      <w:sz w:val="16"/>
      <w:szCs w:val="16"/>
    </w:rPr>
  </w:style>
  <w:style w:type="paragraph" w:styleId="ListParagraph">
    <w:name w:val="List Paragraph"/>
    <w:basedOn w:val="Normal"/>
    <w:uiPriority w:val="34"/>
    <w:qFormat/>
    <w:rsid w:val="00F3350D"/>
    <w:pPr>
      <w:ind w:left="720"/>
    </w:pPr>
  </w:style>
  <w:style w:type="character" w:customStyle="1" w:styleId="BodyTextIndentChar">
    <w:name w:val="Body Text Indent Char"/>
    <w:link w:val="BodyTextIndent"/>
    <w:rsid w:val="00106822"/>
    <w:rPr>
      <w:sz w:val="22"/>
      <w:szCs w:val="24"/>
    </w:rPr>
  </w:style>
  <w:style w:type="character" w:styleId="Emphasis">
    <w:name w:val="Emphasis"/>
    <w:qFormat/>
    <w:rsid w:val="008E68BB"/>
    <w:rPr>
      <w:i/>
      <w:iCs/>
    </w:rPr>
  </w:style>
  <w:style w:type="character" w:styleId="Strong">
    <w:name w:val="Strong"/>
    <w:uiPriority w:val="22"/>
    <w:qFormat/>
    <w:rsid w:val="003C08F4"/>
    <w:rPr>
      <w:b/>
      <w:bCs/>
    </w:rPr>
  </w:style>
  <w:style w:type="paragraph" w:styleId="Revision">
    <w:name w:val="Revision"/>
    <w:hidden/>
    <w:uiPriority w:val="99"/>
    <w:semiHidden/>
    <w:rsid w:val="00273036"/>
    <w:rPr>
      <w:sz w:val="24"/>
      <w:szCs w:val="24"/>
    </w:rPr>
  </w:style>
  <w:style w:type="table" w:styleId="TableGrid">
    <w:name w:val="Table Grid"/>
    <w:basedOn w:val="TableNormal"/>
    <w:rsid w:val="00711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5725">
      <w:bodyDiv w:val="1"/>
      <w:marLeft w:val="0"/>
      <w:marRight w:val="0"/>
      <w:marTop w:val="0"/>
      <w:marBottom w:val="0"/>
      <w:divBdr>
        <w:top w:val="none" w:sz="0" w:space="0" w:color="auto"/>
        <w:left w:val="none" w:sz="0" w:space="0" w:color="auto"/>
        <w:bottom w:val="none" w:sz="0" w:space="0" w:color="auto"/>
        <w:right w:val="none" w:sz="0" w:space="0" w:color="auto"/>
      </w:divBdr>
    </w:div>
    <w:div w:id="635338185">
      <w:bodyDiv w:val="1"/>
      <w:marLeft w:val="0"/>
      <w:marRight w:val="0"/>
      <w:marTop w:val="0"/>
      <w:marBottom w:val="0"/>
      <w:divBdr>
        <w:top w:val="none" w:sz="0" w:space="0" w:color="auto"/>
        <w:left w:val="none" w:sz="0" w:space="0" w:color="auto"/>
        <w:bottom w:val="none" w:sz="0" w:space="0" w:color="auto"/>
        <w:right w:val="none" w:sz="0" w:space="0" w:color="auto"/>
      </w:divBdr>
      <w:divsChild>
        <w:div w:id="2117140688">
          <w:marLeft w:val="0"/>
          <w:marRight w:val="0"/>
          <w:marTop w:val="150"/>
          <w:marBottom w:val="150"/>
          <w:divBdr>
            <w:top w:val="single" w:sz="6" w:space="0" w:color="9B9A7A"/>
            <w:left w:val="single" w:sz="6" w:space="0" w:color="9B9A7A"/>
            <w:bottom w:val="single" w:sz="6" w:space="0" w:color="9B9A7A"/>
            <w:right w:val="single" w:sz="6" w:space="0" w:color="9B9A7A"/>
          </w:divBdr>
          <w:divsChild>
            <w:div w:id="1102921068">
              <w:marLeft w:val="0"/>
              <w:marRight w:val="0"/>
              <w:marTop w:val="0"/>
              <w:marBottom w:val="0"/>
              <w:divBdr>
                <w:top w:val="none" w:sz="0" w:space="0" w:color="auto"/>
                <w:left w:val="none" w:sz="0" w:space="0" w:color="auto"/>
                <w:bottom w:val="none" w:sz="0" w:space="0" w:color="auto"/>
                <w:right w:val="none" w:sz="0" w:space="0" w:color="auto"/>
              </w:divBdr>
              <w:divsChild>
                <w:div w:id="172163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81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CC65492B2D2B45BDFD3C1876C8B7DF" ma:contentTypeVersion="18" ma:contentTypeDescription="Create a new document." ma:contentTypeScope="" ma:versionID="0a91ebb11fe9c043842b2b886b8b6706">
  <xsd:schema xmlns:xsd="http://www.w3.org/2001/XMLSchema" xmlns:xs="http://www.w3.org/2001/XMLSchema" xmlns:p="http://schemas.microsoft.com/office/2006/metadata/properties" xmlns:ns2="578c36e4-03ed-4671-a714-4b2eff8e64ad" xmlns:ns3="1c1509c2-8dc3-465d-82b1-58e4055cbad7" targetNamespace="http://schemas.microsoft.com/office/2006/metadata/properties" ma:root="true" ma:fieldsID="8796bcf1fcc732eeed97c0607bc6be23" ns2:_="" ns3:_="">
    <xsd:import namespace="578c36e4-03ed-4671-a714-4b2eff8e64ad"/>
    <xsd:import namespace="1c1509c2-8dc3-465d-82b1-58e4055cba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c36e4-03ed-4671-a714-4b2eff8e6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1509c2-8dc3-465d-82b1-58e4055cbad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00162f7-2208-4d42-9397-d329260c7414}" ma:internalName="TaxCatchAll" ma:showField="CatchAllData" ma:web="1c1509c2-8dc3-465d-82b1-58e4055cba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8c36e4-03ed-4671-a714-4b2eff8e64ad">
      <Terms xmlns="http://schemas.microsoft.com/office/infopath/2007/PartnerControls"/>
    </lcf76f155ced4ddcb4097134ff3c332f>
    <TaxCatchAll xmlns="1c1509c2-8dc3-465d-82b1-58e4055cbad7"/>
  </documentManagement>
</p:properties>
</file>

<file path=customXml/itemProps1.xml><?xml version="1.0" encoding="utf-8"?>
<ds:datastoreItem xmlns:ds="http://schemas.openxmlformats.org/officeDocument/2006/customXml" ds:itemID="{B51D4662-6A8B-4250-ADA3-E7611D3B0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c36e4-03ed-4671-a714-4b2eff8e64ad"/>
    <ds:schemaRef ds:uri="1c1509c2-8dc3-465d-82b1-58e4055c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73408C-324C-4A84-B46F-69DFDC052A68}">
  <ds:schemaRefs>
    <ds:schemaRef ds:uri="http://schemas.microsoft.com/sharepoint/v3/contenttype/forms"/>
  </ds:schemaRefs>
</ds:datastoreItem>
</file>

<file path=customXml/itemProps3.xml><?xml version="1.0" encoding="utf-8"?>
<ds:datastoreItem xmlns:ds="http://schemas.openxmlformats.org/officeDocument/2006/customXml" ds:itemID="{494B10AA-4CA5-482C-932E-E218E0874A7B}">
  <ds:schemaRefs>
    <ds:schemaRef ds:uri="http://schemas.openxmlformats.org/officeDocument/2006/bibliography"/>
  </ds:schemaRefs>
</ds:datastoreItem>
</file>

<file path=customXml/itemProps4.xml><?xml version="1.0" encoding="utf-8"?>
<ds:datastoreItem xmlns:ds="http://schemas.openxmlformats.org/officeDocument/2006/customXml" ds:itemID="{04037553-CB53-426E-8128-5DA765F0EEDA}">
  <ds:schemaRefs>
    <ds:schemaRef ds:uri="http://schemas.microsoft.com/office/2006/metadata/properties"/>
    <ds:schemaRef ds:uri="http://schemas.microsoft.com/office/infopath/2007/PartnerControls"/>
    <ds:schemaRef ds:uri="578c36e4-03ed-4671-a714-4b2eff8e64ad"/>
    <ds:schemaRef ds:uri="1c1509c2-8dc3-465d-82b1-58e4055cbad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2123</Words>
  <Characters>12107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University of Missouri</Company>
  <LinksUpToDate>false</LinksUpToDate>
  <CharactersWithSpaces>14202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hofenj</dc:creator>
  <cp:keywords/>
  <cp:lastModifiedBy>Greening, Janelle</cp:lastModifiedBy>
  <cp:revision>2</cp:revision>
  <cp:lastPrinted>2021-06-15T17:27:00Z</cp:lastPrinted>
  <dcterms:created xsi:type="dcterms:W3CDTF">2026-08-03T15:14:00Z</dcterms:created>
  <dcterms:modified xsi:type="dcterms:W3CDTF">2026-08-03T15:14:00Z</dcterms:modified>
</cp:coreProperties>
</file>