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02AFD" w:rsidR="005F01B0" w:rsidP="1F50A2A6" w:rsidRDefault="005F01B0" w14:paraId="036ADCFD" w14:textId="42C8D3EE">
      <w:pPr>
        <w:pStyle w:val="Heading2"/>
        <w:spacing w:line="240" w:lineRule="auto"/>
        <w:jc w:val="center"/>
        <w:rPr>
          <w:rFonts w:ascii="Calibri" w:hAnsi="Calibri" w:eastAsia="Calibri" w:cs="Calibri" w:asciiTheme="minorAscii" w:hAnsiTheme="minorAscii" w:eastAsiaTheme="minorAscii" w:cstheme="minorAscii"/>
          <w:i w:val="0"/>
          <w:iCs w:val="0"/>
          <w:sz w:val="28"/>
          <w:szCs w:val="28"/>
        </w:rPr>
      </w:pPr>
      <w:bookmarkStart w:name="_Toc118704849" w:id="0"/>
      <w:r w:rsidRPr="1F50A2A6" w:rsidR="005F01B0">
        <w:rPr>
          <w:rFonts w:ascii="Calibri" w:hAnsi="Calibri" w:eastAsia="Calibri" w:cs="Calibri" w:asciiTheme="minorAscii" w:hAnsiTheme="minorAscii" w:eastAsiaTheme="minorAscii" w:cstheme="minorAscii"/>
          <w:i w:val="0"/>
          <w:iCs w:val="0"/>
          <w:sz w:val="28"/>
          <w:szCs w:val="28"/>
        </w:rPr>
        <w:t>Genomics Technology Core</w:t>
      </w:r>
      <w:bookmarkEnd w:id="0"/>
    </w:p>
    <w:p w:rsidR="7CB725F7" w:rsidP="1F50A2A6" w:rsidRDefault="7CB725F7" w14:paraId="2A8B8FFC" w14:textId="1955338E">
      <w:pPr>
        <w:pStyle w:val="Normal"/>
        <w:rPr>
          <w:rStyle w:val="Hyperlink"/>
          <w:rFonts w:ascii="Calibri" w:hAnsi="Calibri" w:eastAsia="Calibri" w:cs="Calibri" w:asciiTheme="minorAscii" w:hAnsiTheme="minorAscii" w:eastAsiaTheme="minorAscii" w:cstheme="minorAscii"/>
          <w:noProof w:val="0"/>
          <w:sz w:val="24"/>
          <w:szCs w:val="24"/>
          <w:lang w:val="en-US"/>
        </w:rPr>
      </w:pPr>
      <w:r w:rsidRPr="1A5C1CFA" w:rsidR="7CB725F7">
        <w:rPr>
          <w:rFonts w:ascii="Calibri" w:hAnsi="Calibri" w:eastAsia="Calibri" w:cs="Calibri" w:asciiTheme="minorAscii" w:hAnsiTheme="minorAscii" w:eastAsiaTheme="minorAscii" w:cstheme="minorAscii"/>
          <w:b w:val="0"/>
          <w:bCs w:val="0"/>
          <w:sz w:val="24"/>
          <w:szCs w:val="24"/>
        </w:rPr>
        <w:t xml:space="preserve">More info: </w:t>
      </w:r>
      <w:hyperlink r:id="R681ed7d7955a4500">
        <w:r w:rsidRPr="1A5C1CFA" w:rsidR="7CB725F7">
          <w:rPr>
            <w:rStyle w:val="Hyperlink"/>
            <w:rFonts w:ascii="Calibri" w:hAnsi="Calibri" w:eastAsia="Calibri" w:cs="Calibri" w:asciiTheme="minorAscii" w:hAnsiTheme="minorAscii" w:eastAsiaTheme="minorAscii" w:cstheme="minorAscii"/>
            <w:noProof w:val="0"/>
            <w:sz w:val="24"/>
            <w:szCs w:val="24"/>
            <w:lang w:val="en-US"/>
          </w:rPr>
          <w:t>https://dnacore.missouri.edu/</w:t>
        </w:r>
      </w:hyperlink>
    </w:p>
    <w:p w:rsidR="1F50A2A6" w:rsidP="1F50A2A6" w:rsidRDefault="1F50A2A6" w14:paraId="5B6EAAD9" w14:textId="6F327D1F">
      <w:pPr>
        <w:pStyle w:val="Normal"/>
        <w:rPr>
          <w:rFonts w:ascii="Calibri" w:hAnsi="Calibri" w:eastAsia="Calibri" w:cs="Calibri" w:asciiTheme="minorAscii" w:hAnsiTheme="minorAscii" w:eastAsiaTheme="minorAscii" w:cstheme="minorAscii"/>
          <w:b w:val="0"/>
          <w:bCs w:val="0"/>
          <w:sz w:val="24"/>
          <w:szCs w:val="24"/>
        </w:rPr>
      </w:pPr>
    </w:p>
    <w:p w:rsidR="005F01B0" w:rsidP="1F50A2A6" w:rsidRDefault="005F01B0" w14:paraId="35AC8DA8" w14:textId="7CE282CE">
      <w:pPr>
        <w:spacing w:line="240" w:lineRule="auto"/>
        <w:rPr>
          <w:rFonts w:ascii="Calibri" w:hAnsi="Calibri" w:eastAsia="Calibri" w:cs="Calibri" w:asciiTheme="minorAscii" w:hAnsiTheme="minorAscii" w:eastAsiaTheme="minorAscii" w:cstheme="minorAscii"/>
          <w:sz w:val="24"/>
          <w:szCs w:val="24"/>
        </w:rPr>
      </w:pPr>
      <w:r w:rsidRPr="1F50A2A6" w:rsidR="005F01B0">
        <w:rPr>
          <w:rFonts w:ascii="Calibri" w:hAnsi="Calibri" w:eastAsia="Calibri" w:cs="Calibri" w:asciiTheme="minorAscii" w:hAnsiTheme="minorAscii" w:eastAsiaTheme="minorAscii" w:cstheme="minorAscii"/>
          <w:sz w:val="24"/>
          <w:szCs w:val="24"/>
        </w:rPr>
        <w:t xml:space="preserve">The Genomics Technology Core (GTC) </w:t>
      </w:r>
      <w:r w:rsidRPr="1F50A2A6" w:rsidR="005F01B0">
        <w:rPr>
          <w:rFonts w:ascii="Calibri" w:hAnsi="Calibri" w:eastAsia="Calibri" w:cs="Calibri" w:asciiTheme="minorAscii" w:hAnsiTheme="minorAscii" w:eastAsiaTheme="minorAscii" w:cstheme="minorAscii"/>
          <w:sz w:val="24"/>
          <w:szCs w:val="24"/>
        </w:rPr>
        <w:t>provides</w:t>
      </w:r>
      <w:r w:rsidRPr="1F50A2A6" w:rsidR="005F01B0">
        <w:rPr>
          <w:rFonts w:ascii="Calibri" w:hAnsi="Calibri" w:eastAsia="Calibri" w:cs="Calibri" w:asciiTheme="minorAscii" w:hAnsiTheme="minorAscii" w:eastAsiaTheme="minorAscii" w:cstheme="minorAscii"/>
          <w:sz w:val="24"/>
          <w:szCs w:val="24"/>
        </w:rPr>
        <w:t xml:space="preserve"> genomic services to investigators throughout the University of Missouri </w:t>
      </w:r>
      <w:r w:rsidRPr="1F50A2A6" w:rsidR="6D33C392">
        <w:rPr>
          <w:rFonts w:ascii="Calibri" w:hAnsi="Calibri" w:eastAsia="Calibri" w:cs="Calibri" w:asciiTheme="minorAscii" w:hAnsiTheme="minorAscii" w:eastAsiaTheme="minorAscii" w:cstheme="minorAscii"/>
          <w:sz w:val="24"/>
          <w:szCs w:val="24"/>
        </w:rPr>
        <w:t>S</w:t>
      </w:r>
      <w:r w:rsidRPr="1F50A2A6" w:rsidR="005F01B0">
        <w:rPr>
          <w:rFonts w:ascii="Calibri" w:hAnsi="Calibri" w:eastAsia="Calibri" w:cs="Calibri" w:asciiTheme="minorAscii" w:hAnsiTheme="minorAscii" w:eastAsiaTheme="minorAscii" w:cstheme="minorAscii"/>
          <w:sz w:val="24"/>
          <w:szCs w:val="24"/>
        </w:rPr>
        <w:t xml:space="preserve">ystem, </w:t>
      </w:r>
      <w:r w:rsidRPr="1F50A2A6" w:rsidR="005F01B0">
        <w:rPr>
          <w:rFonts w:ascii="Calibri" w:hAnsi="Calibri" w:eastAsia="Calibri" w:cs="Calibri" w:asciiTheme="minorAscii" w:hAnsiTheme="minorAscii" w:eastAsiaTheme="minorAscii" w:cstheme="minorAscii"/>
          <w:sz w:val="24"/>
          <w:szCs w:val="24"/>
        </w:rPr>
        <w:t>external</w:t>
      </w:r>
      <w:r w:rsidRPr="1F50A2A6" w:rsidR="005F01B0">
        <w:rPr>
          <w:rFonts w:ascii="Calibri" w:hAnsi="Calibri" w:eastAsia="Calibri" w:cs="Calibri" w:asciiTheme="minorAscii" w:hAnsiTheme="minorAscii" w:eastAsiaTheme="minorAscii" w:cstheme="minorAscii"/>
          <w:sz w:val="24"/>
          <w:szCs w:val="24"/>
        </w:rPr>
        <w:t xml:space="preserve"> academic </w:t>
      </w:r>
      <w:r w:rsidRPr="1F50A2A6" w:rsidR="005F01B0">
        <w:rPr>
          <w:rFonts w:ascii="Calibri" w:hAnsi="Calibri" w:eastAsia="Calibri" w:cs="Calibri" w:asciiTheme="minorAscii" w:hAnsiTheme="minorAscii" w:eastAsiaTheme="minorAscii" w:cstheme="minorAscii"/>
          <w:sz w:val="24"/>
          <w:szCs w:val="24"/>
        </w:rPr>
        <w:t>researchers</w:t>
      </w:r>
      <w:r w:rsidRPr="1F50A2A6" w:rsidR="739A59F6">
        <w:rPr>
          <w:rFonts w:ascii="Calibri" w:hAnsi="Calibri" w:eastAsia="Calibri" w:cs="Calibri" w:asciiTheme="minorAscii" w:hAnsiTheme="minorAscii" w:eastAsiaTheme="minorAscii" w:cstheme="minorAscii"/>
          <w:sz w:val="24"/>
          <w:szCs w:val="24"/>
        </w:rPr>
        <w:t xml:space="preserve">, </w:t>
      </w:r>
      <w:r w:rsidRPr="1F50A2A6" w:rsidR="005F01B0">
        <w:rPr>
          <w:rFonts w:ascii="Calibri" w:hAnsi="Calibri" w:eastAsia="Calibri" w:cs="Calibri" w:asciiTheme="minorAscii" w:hAnsiTheme="minorAscii" w:eastAsiaTheme="minorAscii" w:cstheme="minorAscii"/>
          <w:sz w:val="24"/>
          <w:szCs w:val="24"/>
        </w:rPr>
        <w:t xml:space="preserve">and </w:t>
      </w:r>
      <w:r w:rsidRPr="1F50A2A6" w:rsidR="005F01B0">
        <w:rPr>
          <w:rFonts w:ascii="Calibri" w:hAnsi="Calibri" w:eastAsia="Calibri" w:cs="Calibri" w:asciiTheme="minorAscii" w:hAnsiTheme="minorAscii" w:eastAsiaTheme="minorAscii" w:cstheme="minorAscii"/>
          <w:sz w:val="24"/>
          <w:szCs w:val="24"/>
        </w:rPr>
        <w:t>commercial entities.</w:t>
      </w:r>
      <w:r w:rsidRPr="1F50A2A6" w:rsidR="005F01B0">
        <w:rPr>
          <w:rFonts w:ascii="Calibri" w:hAnsi="Calibri" w:eastAsia="Calibri" w:cs="Calibri" w:asciiTheme="minorAscii" w:hAnsiTheme="minorAscii" w:eastAsiaTheme="minorAscii" w:cstheme="minorAscii"/>
          <w:sz w:val="24"/>
          <w:szCs w:val="24"/>
        </w:rPr>
        <w:t xml:space="preserve"> </w:t>
      </w:r>
      <w:r w:rsidRPr="1F50A2A6" w:rsidR="005F01B0">
        <w:rPr>
          <w:rFonts w:ascii="Calibri" w:hAnsi="Calibri" w:eastAsia="Calibri" w:cs="Calibri" w:asciiTheme="minorAscii" w:hAnsiTheme="minorAscii" w:eastAsiaTheme="minorAscii" w:cstheme="minorAscii"/>
          <w:sz w:val="24"/>
          <w:szCs w:val="24"/>
        </w:rPr>
        <w:t>The GTC is an institutional resource to educate, train</w:t>
      </w:r>
      <w:r w:rsidRPr="1F50A2A6" w:rsidR="6E5F4C40">
        <w:rPr>
          <w:rFonts w:ascii="Calibri" w:hAnsi="Calibri" w:eastAsia="Calibri" w:cs="Calibri" w:asciiTheme="minorAscii" w:hAnsiTheme="minorAscii" w:eastAsiaTheme="minorAscii" w:cstheme="minorAscii"/>
          <w:sz w:val="24"/>
          <w:szCs w:val="24"/>
        </w:rPr>
        <w:t>,</w:t>
      </w:r>
      <w:r w:rsidRPr="1F50A2A6" w:rsidR="005F01B0">
        <w:rPr>
          <w:rFonts w:ascii="Calibri" w:hAnsi="Calibri" w:eastAsia="Calibri" w:cs="Calibri" w:asciiTheme="minorAscii" w:hAnsiTheme="minorAscii" w:eastAsiaTheme="minorAscii" w:cstheme="minorAscii"/>
          <w:sz w:val="24"/>
          <w:szCs w:val="24"/>
        </w:rPr>
        <w:t xml:space="preserve"> and assist researchers in the use of sequencing technologies with the focus toward implementation of emerging genomic technologies to enhance future research capabilities.</w:t>
      </w:r>
      <w:r w:rsidRPr="1F50A2A6" w:rsidR="005F01B0">
        <w:rPr>
          <w:rFonts w:ascii="Calibri" w:hAnsi="Calibri" w:eastAsia="Calibri" w:cs="Calibri" w:asciiTheme="minorAscii" w:hAnsiTheme="minorAscii" w:eastAsiaTheme="minorAscii" w:cstheme="minorAscii"/>
          <w:sz w:val="24"/>
          <w:szCs w:val="24"/>
        </w:rPr>
        <w:t xml:space="preserve"> The GTC </w:t>
      </w:r>
      <w:r w:rsidRPr="1F50A2A6" w:rsidR="005F01B0">
        <w:rPr>
          <w:rFonts w:ascii="Calibri" w:hAnsi="Calibri" w:eastAsia="Calibri" w:cs="Calibri" w:asciiTheme="minorAscii" w:hAnsiTheme="minorAscii" w:eastAsiaTheme="minorAscii" w:cstheme="minorAscii"/>
          <w:sz w:val="24"/>
          <w:szCs w:val="24"/>
        </w:rPr>
        <w:t>is located in</w:t>
      </w:r>
      <w:r w:rsidRPr="1F50A2A6" w:rsidR="005F01B0">
        <w:rPr>
          <w:rFonts w:ascii="Calibri" w:hAnsi="Calibri" w:eastAsia="Calibri" w:cs="Calibri" w:asciiTheme="minorAscii" w:hAnsiTheme="minorAscii" w:eastAsiaTheme="minorAscii" w:cstheme="minorAscii"/>
          <w:sz w:val="24"/>
          <w:szCs w:val="24"/>
        </w:rPr>
        <w:t xml:space="preserve"> the Christopher S. Bond Life Sciences Center</w:t>
      </w:r>
      <w:r w:rsidRPr="1F50A2A6" w:rsidR="6C8AAA38">
        <w:rPr>
          <w:rFonts w:ascii="Calibri" w:hAnsi="Calibri" w:eastAsia="Calibri" w:cs="Calibri" w:asciiTheme="minorAscii" w:hAnsiTheme="minorAscii" w:eastAsiaTheme="minorAscii" w:cstheme="minorAscii"/>
          <w:sz w:val="24"/>
          <w:szCs w:val="24"/>
        </w:rPr>
        <w:t xml:space="preserve"> on the University of Missouri campus. </w:t>
      </w:r>
    </w:p>
    <w:p w:rsidRPr="003313DA" w:rsidR="005F01B0" w:rsidP="1F50A2A6" w:rsidRDefault="005F01B0" w14:paraId="37C34544" w14:textId="77777777" w14:noSpellErr="1">
      <w:pPr>
        <w:spacing w:line="240" w:lineRule="auto"/>
        <w:rPr>
          <w:rFonts w:ascii="Calibri" w:hAnsi="Calibri" w:eastAsia="Calibri" w:cs="Calibri" w:asciiTheme="minorAscii" w:hAnsiTheme="minorAscii" w:eastAsiaTheme="minorAscii" w:cstheme="minorAscii"/>
          <w:sz w:val="24"/>
          <w:szCs w:val="24"/>
        </w:rPr>
      </w:pPr>
    </w:p>
    <w:p w:rsidRPr="003313DA" w:rsidR="005F01B0" w:rsidP="1F50A2A6" w:rsidRDefault="005F01B0" w14:paraId="5945165F" w14:textId="508022FD">
      <w:pPr>
        <w:spacing w:line="240" w:lineRule="auto"/>
        <w:rPr>
          <w:rFonts w:ascii="Calibri" w:hAnsi="Calibri" w:eastAsia="Calibri" w:cs="Calibri" w:asciiTheme="minorAscii" w:hAnsiTheme="minorAscii" w:eastAsiaTheme="minorAscii" w:cstheme="minorAscii"/>
          <w:sz w:val="24"/>
          <w:szCs w:val="24"/>
        </w:rPr>
      </w:pPr>
      <w:r w:rsidRPr="1F50A2A6" w:rsidR="005F01B0">
        <w:rPr>
          <w:rFonts w:ascii="Calibri" w:hAnsi="Calibri" w:eastAsia="Calibri" w:cs="Calibri" w:asciiTheme="minorAscii" w:hAnsiTheme="minorAscii" w:eastAsiaTheme="minorAscii" w:cstheme="minorAscii"/>
          <w:sz w:val="24"/>
          <w:szCs w:val="24"/>
        </w:rPr>
        <w:t xml:space="preserve">Sanger Sequencing and Fragment Analysis Services accommodate both single sample users and high-throughput projects. The GTC utilizes a 3730xl 96-capillary DNA Analyzer to </w:t>
      </w:r>
      <w:r w:rsidRPr="1F50A2A6" w:rsidR="005F01B0">
        <w:rPr>
          <w:rFonts w:ascii="Calibri" w:hAnsi="Calibri" w:eastAsia="Calibri" w:cs="Calibri" w:asciiTheme="minorAscii" w:hAnsiTheme="minorAscii" w:eastAsiaTheme="minorAscii" w:cstheme="minorAscii"/>
          <w:sz w:val="24"/>
          <w:szCs w:val="24"/>
        </w:rPr>
        <w:t>provide</w:t>
      </w:r>
      <w:r w:rsidRPr="1F50A2A6" w:rsidR="005F01B0">
        <w:rPr>
          <w:rFonts w:ascii="Calibri" w:hAnsi="Calibri" w:eastAsia="Calibri" w:cs="Calibri" w:asciiTheme="minorAscii" w:hAnsiTheme="minorAscii" w:eastAsiaTheme="minorAscii" w:cstheme="minorAscii"/>
          <w:sz w:val="24"/>
          <w:szCs w:val="24"/>
        </w:rPr>
        <w:t xml:space="preserve"> high throughput capacity at minimal cost to investigators. DNA sequencing is performed with dye terminator chemistry providing &gt;1,100 bases of sequence</w:t>
      </w:r>
      <w:r w:rsidRPr="1F50A2A6" w:rsidR="005F01B0">
        <w:rPr>
          <w:rFonts w:ascii="Calibri" w:hAnsi="Calibri" w:eastAsia="Calibri" w:cs="Calibri" w:asciiTheme="minorAscii" w:hAnsiTheme="minorAscii" w:eastAsiaTheme="minorAscii" w:cstheme="minorAscii"/>
          <w:sz w:val="24"/>
          <w:szCs w:val="24"/>
        </w:rPr>
        <w:t xml:space="preserve">. </w:t>
      </w:r>
      <w:r w:rsidRPr="1F50A2A6" w:rsidR="005F01B0">
        <w:rPr>
          <w:rFonts w:ascii="Calibri" w:hAnsi="Calibri" w:eastAsia="Calibri" w:cs="Calibri" w:asciiTheme="minorAscii" w:hAnsiTheme="minorAscii" w:eastAsiaTheme="minorAscii" w:cstheme="minorAscii"/>
          <w:sz w:val="24"/>
          <w:szCs w:val="24"/>
        </w:rPr>
        <w:t xml:space="preserve">In addition, the 3730 DNA Analyzer is capable of size determination of DNA fragments, such as, microsatellites (random 2-6 base pair repeats) and AFLPs (amplified fragment length polymorphisms), </w:t>
      </w:r>
      <w:r w:rsidRPr="1F50A2A6" w:rsidR="005F01B0">
        <w:rPr>
          <w:rFonts w:ascii="Calibri" w:hAnsi="Calibri" w:eastAsia="Calibri" w:cs="Calibri" w:asciiTheme="minorAscii" w:hAnsiTheme="minorAscii" w:eastAsiaTheme="minorAscii" w:cstheme="minorAscii"/>
          <w:sz w:val="24"/>
          <w:szCs w:val="24"/>
        </w:rPr>
        <w:t>providing</w:t>
      </w:r>
      <w:r w:rsidRPr="1F50A2A6" w:rsidR="005F01B0">
        <w:rPr>
          <w:rFonts w:ascii="Calibri" w:hAnsi="Calibri" w:eastAsia="Calibri" w:cs="Calibri" w:asciiTheme="minorAscii" w:hAnsiTheme="minorAscii" w:eastAsiaTheme="minorAscii" w:cstheme="minorAscii"/>
          <w:sz w:val="24"/>
          <w:szCs w:val="24"/>
        </w:rPr>
        <w:t xml:space="preserve"> a robust and high throughput method for analysis of genetic variation. </w:t>
      </w:r>
    </w:p>
    <w:p w:rsidRPr="003313DA" w:rsidR="005F01B0" w:rsidP="1F50A2A6" w:rsidRDefault="005F01B0" w14:paraId="4A781E17" w14:textId="77777777" w14:noSpellErr="1">
      <w:pPr>
        <w:spacing w:line="240" w:lineRule="auto"/>
        <w:rPr>
          <w:rFonts w:ascii="Calibri" w:hAnsi="Calibri" w:eastAsia="Calibri" w:cs="Calibri" w:asciiTheme="minorAscii" w:hAnsiTheme="minorAscii" w:eastAsiaTheme="minorAscii" w:cstheme="minorAscii"/>
          <w:sz w:val="24"/>
          <w:szCs w:val="24"/>
        </w:rPr>
      </w:pPr>
    </w:p>
    <w:p w:rsidR="005F01B0" w:rsidP="1F50A2A6" w:rsidRDefault="005F01B0" w14:paraId="436C65C1" w14:textId="2A37A5B4">
      <w:pPr>
        <w:spacing w:line="240" w:lineRule="auto"/>
        <w:rPr>
          <w:rFonts w:ascii="Calibri" w:hAnsi="Calibri" w:eastAsia="Calibri" w:cs="Calibri" w:asciiTheme="minorAscii" w:hAnsiTheme="minorAscii" w:eastAsiaTheme="minorAscii" w:cstheme="minorAscii"/>
          <w:b w:val="1"/>
          <w:bCs w:val="1"/>
          <w:sz w:val="24"/>
          <w:szCs w:val="24"/>
        </w:rPr>
      </w:pPr>
      <w:r w:rsidRPr="1F50A2A6" w:rsidR="005F01B0">
        <w:rPr>
          <w:rFonts w:ascii="Calibri" w:hAnsi="Calibri" w:eastAsia="Calibri" w:cs="Calibri" w:asciiTheme="minorAscii" w:hAnsiTheme="minorAscii" w:eastAsiaTheme="minorAscii" w:cstheme="minorAscii"/>
          <w:b w:val="1"/>
          <w:bCs w:val="1"/>
          <w:sz w:val="24"/>
          <w:szCs w:val="24"/>
        </w:rPr>
        <w:t>Metagenomic/16S Sequencing Services</w:t>
      </w:r>
    </w:p>
    <w:p w:rsidR="005F01B0" w:rsidP="1F50A2A6" w:rsidRDefault="005F01B0" w14:paraId="7D27418D" w14:textId="474147D9">
      <w:pPr>
        <w:spacing w:line="240" w:lineRule="auto"/>
        <w:rPr>
          <w:rFonts w:ascii="Calibri" w:hAnsi="Calibri" w:eastAsia="Calibri" w:cs="Calibri" w:asciiTheme="minorAscii" w:hAnsiTheme="minorAscii" w:eastAsiaTheme="minorAscii" w:cstheme="minorAscii"/>
          <w:sz w:val="24"/>
          <w:szCs w:val="24"/>
        </w:rPr>
      </w:pPr>
      <w:r w:rsidRPr="1F50A2A6" w:rsidR="005F01B0">
        <w:rPr>
          <w:rFonts w:ascii="Calibri" w:hAnsi="Calibri" w:eastAsia="Calibri" w:cs="Calibri" w:asciiTheme="minorAscii" w:hAnsiTheme="minorAscii" w:eastAsiaTheme="minorAscii" w:cstheme="minorAscii"/>
          <w:sz w:val="24"/>
          <w:szCs w:val="24"/>
        </w:rPr>
        <w:t>The GTC applies Illumina NGS technology to the study of complex bacterial communities</w:t>
      </w:r>
      <w:r w:rsidRPr="1F50A2A6" w:rsidR="005F01B0">
        <w:rPr>
          <w:rFonts w:ascii="Calibri" w:hAnsi="Calibri" w:eastAsia="Calibri" w:cs="Calibri" w:asciiTheme="minorAscii" w:hAnsiTheme="minorAscii" w:eastAsiaTheme="minorAscii" w:cstheme="minorAscii"/>
          <w:sz w:val="24"/>
          <w:szCs w:val="24"/>
        </w:rPr>
        <w:t xml:space="preserve">. </w:t>
      </w:r>
      <w:r w:rsidRPr="1F50A2A6" w:rsidR="005F01B0">
        <w:rPr>
          <w:rFonts w:ascii="Calibri" w:hAnsi="Calibri" w:eastAsia="Calibri" w:cs="Calibri" w:asciiTheme="minorAscii" w:hAnsiTheme="minorAscii" w:eastAsiaTheme="minorAscii" w:cstheme="minorAscii"/>
          <w:sz w:val="24"/>
          <w:szCs w:val="24"/>
        </w:rPr>
        <w:t>Both a whole genome shotgun approach and taxonomical identification by targeting of the V4 hypervariable regions of the 16S rRNA gene are available</w:t>
      </w:r>
      <w:r w:rsidRPr="1F50A2A6" w:rsidR="005F01B0">
        <w:rPr>
          <w:rFonts w:ascii="Calibri" w:hAnsi="Calibri" w:eastAsia="Calibri" w:cs="Calibri" w:asciiTheme="minorAscii" w:hAnsiTheme="minorAscii" w:eastAsiaTheme="minorAscii" w:cstheme="minorAscii"/>
          <w:sz w:val="24"/>
          <w:szCs w:val="24"/>
        </w:rPr>
        <w:t xml:space="preserve">. </w:t>
      </w:r>
      <w:r w:rsidRPr="1F50A2A6" w:rsidR="005F01B0">
        <w:rPr>
          <w:rFonts w:ascii="Calibri" w:hAnsi="Calibri" w:eastAsia="Calibri" w:cs="Calibri" w:asciiTheme="minorAscii" w:hAnsiTheme="minorAscii" w:eastAsiaTheme="minorAscii" w:cstheme="minorAscii"/>
          <w:sz w:val="24"/>
          <w:szCs w:val="24"/>
        </w:rPr>
        <w:t>Bacterial 16S ribosomal DNA amplicon libraries are constructed by amplification of the hypervariable region of the 16s rRNA with primers flanked by Illumina standard adapter sequences. Barcoding allows for the pooling of up to 96 samples</w:t>
      </w:r>
      <w:r w:rsidRPr="1F50A2A6" w:rsidR="005F01B0">
        <w:rPr>
          <w:rFonts w:ascii="Calibri" w:hAnsi="Calibri" w:eastAsia="Calibri" w:cs="Calibri" w:asciiTheme="minorAscii" w:hAnsiTheme="minorAscii" w:eastAsiaTheme="minorAscii" w:cstheme="minorAscii"/>
          <w:sz w:val="24"/>
          <w:szCs w:val="24"/>
        </w:rPr>
        <w:t xml:space="preserve">. </w:t>
      </w:r>
      <w:r w:rsidRPr="1F50A2A6" w:rsidR="005F01B0">
        <w:rPr>
          <w:rFonts w:ascii="Calibri" w:hAnsi="Calibri" w:eastAsia="Calibri" w:cs="Calibri" w:asciiTheme="minorAscii" w:hAnsiTheme="minorAscii" w:eastAsiaTheme="minorAscii" w:cstheme="minorAscii"/>
          <w:sz w:val="24"/>
          <w:szCs w:val="24"/>
        </w:rPr>
        <w:t xml:space="preserve">These services are offered in collaboration with the MU Metagenomics Center that can </w:t>
      </w:r>
      <w:r w:rsidRPr="1F50A2A6" w:rsidR="005F01B0">
        <w:rPr>
          <w:rFonts w:ascii="Calibri" w:hAnsi="Calibri" w:eastAsia="Calibri" w:cs="Calibri" w:asciiTheme="minorAscii" w:hAnsiTheme="minorAscii" w:eastAsiaTheme="minorAscii" w:cstheme="minorAscii"/>
          <w:sz w:val="24"/>
          <w:szCs w:val="24"/>
        </w:rPr>
        <w:t>provide</w:t>
      </w:r>
      <w:r w:rsidRPr="1F50A2A6" w:rsidR="005F01B0">
        <w:rPr>
          <w:rFonts w:ascii="Calibri" w:hAnsi="Calibri" w:eastAsia="Calibri" w:cs="Calibri" w:asciiTheme="minorAscii" w:hAnsiTheme="minorAscii" w:eastAsiaTheme="minorAscii" w:cstheme="minorAscii"/>
          <w:sz w:val="24"/>
          <w:szCs w:val="24"/>
        </w:rPr>
        <w:t xml:space="preserve"> extraction services and the Bioinformatics and Analytics Core that </w:t>
      </w:r>
      <w:r w:rsidRPr="1F50A2A6" w:rsidR="005F01B0">
        <w:rPr>
          <w:rFonts w:ascii="Calibri" w:hAnsi="Calibri" w:eastAsia="Calibri" w:cs="Calibri" w:asciiTheme="minorAscii" w:hAnsiTheme="minorAscii" w:eastAsiaTheme="minorAscii" w:cstheme="minorAscii"/>
          <w:sz w:val="24"/>
          <w:szCs w:val="24"/>
        </w:rPr>
        <w:t>provides</w:t>
      </w:r>
      <w:r w:rsidRPr="1F50A2A6" w:rsidR="005F01B0">
        <w:rPr>
          <w:rFonts w:ascii="Calibri" w:hAnsi="Calibri" w:eastAsia="Calibri" w:cs="Calibri" w:asciiTheme="minorAscii" w:hAnsiTheme="minorAscii" w:eastAsiaTheme="minorAscii" w:cstheme="minorAscii"/>
          <w:sz w:val="24"/>
          <w:szCs w:val="24"/>
        </w:rPr>
        <w:t xml:space="preserve"> an analysis of 16S sequence data using the standard QIIME2 pipeline that </w:t>
      </w:r>
      <w:r w:rsidRPr="1F50A2A6" w:rsidR="005F01B0">
        <w:rPr>
          <w:rFonts w:ascii="Calibri" w:hAnsi="Calibri" w:eastAsia="Calibri" w:cs="Calibri" w:asciiTheme="minorAscii" w:hAnsiTheme="minorAscii" w:eastAsiaTheme="minorAscii" w:cstheme="minorAscii"/>
          <w:sz w:val="24"/>
          <w:szCs w:val="24"/>
        </w:rPr>
        <w:t>provides</w:t>
      </w:r>
      <w:r w:rsidRPr="1F50A2A6" w:rsidR="005F01B0">
        <w:rPr>
          <w:rFonts w:ascii="Calibri" w:hAnsi="Calibri" w:eastAsia="Calibri" w:cs="Calibri" w:asciiTheme="minorAscii" w:hAnsiTheme="minorAscii" w:eastAsiaTheme="minorAscii" w:cstheme="minorAscii"/>
          <w:sz w:val="24"/>
          <w:szCs w:val="24"/>
        </w:rPr>
        <w:t xml:space="preserve"> graphical and tabular summaries, and meta-statistics</w:t>
      </w:r>
      <w:r w:rsidRPr="1F50A2A6" w:rsidR="005F01B0">
        <w:rPr>
          <w:rFonts w:ascii="Calibri" w:hAnsi="Calibri" w:eastAsia="Calibri" w:cs="Calibri" w:asciiTheme="minorAscii" w:hAnsiTheme="minorAscii" w:eastAsiaTheme="minorAscii" w:cstheme="minorAscii"/>
          <w:sz w:val="24"/>
          <w:szCs w:val="24"/>
        </w:rPr>
        <w:t xml:space="preserve">. </w:t>
      </w:r>
      <w:r w:rsidRPr="1F50A2A6" w:rsidR="005F01B0">
        <w:rPr>
          <w:rFonts w:ascii="Calibri" w:hAnsi="Calibri" w:eastAsia="Calibri" w:cs="Calibri" w:asciiTheme="minorAscii" w:hAnsiTheme="minorAscii" w:eastAsiaTheme="minorAscii" w:cstheme="minorAscii"/>
          <w:sz w:val="24"/>
          <w:szCs w:val="24"/>
        </w:rPr>
        <w:t>Custom targeted amplicon approaches are also available.</w:t>
      </w:r>
    </w:p>
    <w:p w:rsidRPr="003313DA" w:rsidR="005F01B0" w:rsidP="1F50A2A6" w:rsidRDefault="005F01B0" w14:paraId="660ABF52" w14:textId="77777777" w14:noSpellErr="1">
      <w:pPr>
        <w:spacing w:line="240" w:lineRule="auto"/>
        <w:rPr>
          <w:rFonts w:ascii="Calibri" w:hAnsi="Calibri" w:eastAsia="Calibri" w:cs="Calibri" w:asciiTheme="minorAscii" w:hAnsiTheme="minorAscii" w:eastAsiaTheme="minorAscii" w:cstheme="minorAscii"/>
          <w:sz w:val="24"/>
          <w:szCs w:val="24"/>
        </w:rPr>
      </w:pPr>
    </w:p>
    <w:p w:rsidR="005F01B0" w:rsidP="1F50A2A6" w:rsidRDefault="005F01B0" w14:paraId="3C8FD668" w14:textId="7401B74E">
      <w:pPr>
        <w:spacing w:line="240" w:lineRule="auto"/>
        <w:rPr>
          <w:rFonts w:ascii="Calibri" w:hAnsi="Calibri" w:eastAsia="Calibri" w:cs="Calibri" w:asciiTheme="minorAscii" w:hAnsiTheme="minorAscii" w:eastAsiaTheme="minorAscii" w:cstheme="minorAscii"/>
          <w:b w:val="1"/>
          <w:bCs w:val="1"/>
          <w:sz w:val="24"/>
          <w:szCs w:val="24"/>
        </w:rPr>
      </w:pPr>
      <w:r w:rsidRPr="1F50A2A6" w:rsidR="005F01B0">
        <w:rPr>
          <w:rFonts w:ascii="Calibri" w:hAnsi="Calibri" w:eastAsia="Calibri" w:cs="Calibri" w:asciiTheme="minorAscii" w:hAnsiTheme="minorAscii" w:eastAsiaTheme="minorAscii" w:cstheme="minorAscii"/>
          <w:b w:val="1"/>
          <w:bCs w:val="1"/>
          <w:sz w:val="24"/>
          <w:szCs w:val="24"/>
        </w:rPr>
        <w:t>Ilumina</w:t>
      </w:r>
      <w:r w:rsidRPr="1F50A2A6" w:rsidR="005F01B0">
        <w:rPr>
          <w:rFonts w:ascii="Calibri" w:hAnsi="Calibri" w:eastAsia="Calibri" w:cs="Calibri" w:asciiTheme="minorAscii" w:hAnsiTheme="minorAscii" w:eastAsiaTheme="minorAscii" w:cstheme="minorAscii"/>
          <w:b w:val="1"/>
          <w:bCs w:val="1"/>
          <w:sz w:val="24"/>
          <w:szCs w:val="24"/>
        </w:rPr>
        <w:t xml:space="preserve"> </w:t>
      </w:r>
      <w:r w:rsidRPr="1F50A2A6" w:rsidR="005F01B0">
        <w:rPr>
          <w:rFonts w:ascii="Calibri" w:hAnsi="Calibri" w:eastAsia="Calibri" w:cs="Calibri" w:asciiTheme="minorAscii" w:hAnsiTheme="minorAscii" w:eastAsiaTheme="minorAscii" w:cstheme="minorAscii"/>
          <w:b w:val="1"/>
          <w:bCs w:val="1"/>
          <w:sz w:val="24"/>
          <w:szCs w:val="24"/>
        </w:rPr>
        <w:t>Next-Generation Sequencing Services</w:t>
      </w:r>
    </w:p>
    <w:p w:rsidR="005F01B0" w:rsidP="1F50A2A6" w:rsidRDefault="005F01B0" w14:paraId="455AABCB" w14:textId="7A2DB160">
      <w:pPr>
        <w:spacing w:line="240" w:lineRule="auto"/>
        <w:rPr>
          <w:rFonts w:ascii="Calibri" w:hAnsi="Calibri" w:eastAsia="Calibri" w:cs="Calibri" w:asciiTheme="minorAscii" w:hAnsiTheme="minorAscii" w:eastAsiaTheme="minorAscii" w:cstheme="minorAscii"/>
          <w:sz w:val="24"/>
          <w:szCs w:val="24"/>
        </w:rPr>
      </w:pPr>
      <w:r w:rsidRPr="1F50A2A6" w:rsidR="005F01B0">
        <w:rPr>
          <w:rFonts w:ascii="Calibri" w:hAnsi="Calibri" w:eastAsia="Calibri" w:cs="Calibri" w:asciiTheme="minorAscii" w:hAnsiTheme="minorAscii" w:eastAsiaTheme="minorAscii" w:cstheme="minorAscii"/>
          <w:sz w:val="24"/>
          <w:szCs w:val="24"/>
        </w:rPr>
        <w:t xml:space="preserve">The GTC </w:t>
      </w:r>
      <w:r w:rsidRPr="1F50A2A6" w:rsidR="005F01B0">
        <w:rPr>
          <w:rFonts w:ascii="Calibri" w:hAnsi="Calibri" w:eastAsia="Calibri" w:cs="Calibri" w:asciiTheme="minorAscii" w:hAnsiTheme="minorAscii" w:eastAsiaTheme="minorAscii" w:cstheme="minorAscii"/>
          <w:sz w:val="24"/>
          <w:szCs w:val="24"/>
        </w:rPr>
        <w:t>provides</w:t>
      </w:r>
      <w:r w:rsidRPr="1F50A2A6" w:rsidR="005F01B0">
        <w:rPr>
          <w:rFonts w:ascii="Calibri" w:hAnsi="Calibri" w:eastAsia="Calibri" w:cs="Calibri" w:asciiTheme="minorAscii" w:hAnsiTheme="minorAscii" w:eastAsiaTheme="minorAscii" w:cstheme="minorAscii"/>
          <w:sz w:val="24"/>
          <w:szCs w:val="24"/>
        </w:rPr>
        <w:t xml:space="preserve"> services in high-throughput DNA sequencing which includes staff experience in the construction of libraries for amplicons, small RNA analysis, transcriptome profiling (RNA-Seq), </w:t>
      </w:r>
      <w:r w:rsidRPr="1F50A2A6" w:rsidR="005F01B0">
        <w:rPr>
          <w:rFonts w:ascii="Calibri" w:hAnsi="Calibri" w:eastAsia="Calibri" w:cs="Calibri" w:asciiTheme="minorAscii" w:hAnsiTheme="minorAscii" w:eastAsiaTheme="minorAscii" w:cstheme="minorAscii"/>
          <w:sz w:val="24"/>
          <w:szCs w:val="24"/>
        </w:rPr>
        <w:t>ChIP</w:t>
      </w:r>
      <w:r w:rsidRPr="1F50A2A6" w:rsidR="005F01B0">
        <w:rPr>
          <w:rFonts w:ascii="Calibri" w:hAnsi="Calibri" w:eastAsia="Calibri" w:cs="Calibri" w:asciiTheme="minorAscii" w:hAnsiTheme="minorAscii" w:eastAsiaTheme="minorAscii" w:cstheme="minorAscii"/>
          <w:sz w:val="24"/>
          <w:szCs w:val="24"/>
        </w:rPr>
        <w:t>-Seq, epigenome</w:t>
      </w:r>
      <w:r w:rsidRPr="1F50A2A6" w:rsidR="595362F3">
        <w:rPr>
          <w:rFonts w:ascii="Calibri" w:hAnsi="Calibri" w:eastAsia="Calibri" w:cs="Calibri" w:asciiTheme="minorAscii" w:hAnsiTheme="minorAscii" w:eastAsiaTheme="minorAscii" w:cstheme="minorAscii"/>
          <w:sz w:val="24"/>
          <w:szCs w:val="24"/>
        </w:rPr>
        <w:t>,</w:t>
      </w:r>
      <w:r w:rsidRPr="1F50A2A6" w:rsidR="005F01B0">
        <w:rPr>
          <w:rFonts w:ascii="Calibri" w:hAnsi="Calibri" w:eastAsia="Calibri" w:cs="Calibri" w:asciiTheme="minorAscii" w:hAnsiTheme="minorAscii" w:eastAsiaTheme="minorAscii" w:cstheme="minorAscii"/>
          <w:sz w:val="24"/>
          <w:szCs w:val="24"/>
        </w:rPr>
        <w:t xml:space="preserve"> and whole genome analysis. Core staff can offer technical guidance in sample preparation with &gt;2,000 library constructs generated annually. The GTC maintains Illumina </w:t>
      </w:r>
      <w:r w:rsidRPr="1F50A2A6" w:rsidR="005F01B0">
        <w:rPr>
          <w:rFonts w:ascii="Calibri" w:hAnsi="Calibri" w:eastAsia="Calibri" w:cs="Calibri" w:asciiTheme="minorAscii" w:hAnsiTheme="minorAscii" w:eastAsiaTheme="minorAscii" w:cstheme="minorAscii"/>
          <w:sz w:val="24"/>
          <w:szCs w:val="24"/>
        </w:rPr>
        <w:t>NovaSeq</w:t>
      </w:r>
      <w:r w:rsidRPr="1F50A2A6" w:rsidR="005F01B0">
        <w:rPr>
          <w:rFonts w:ascii="Calibri" w:hAnsi="Calibri" w:eastAsia="Calibri" w:cs="Calibri" w:asciiTheme="minorAscii" w:hAnsiTheme="minorAscii" w:eastAsiaTheme="minorAscii" w:cstheme="minorAscii"/>
          <w:sz w:val="24"/>
          <w:szCs w:val="24"/>
        </w:rPr>
        <w:t xml:space="preserve"> 6000 and </w:t>
      </w:r>
      <w:r w:rsidRPr="1F50A2A6" w:rsidR="005F01B0">
        <w:rPr>
          <w:rFonts w:ascii="Calibri" w:hAnsi="Calibri" w:eastAsia="Calibri" w:cs="Calibri" w:asciiTheme="minorAscii" w:hAnsiTheme="minorAscii" w:eastAsiaTheme="minorAscii" w:cstheme="minorAscii"/>
          <w:sz w:val="24"/>
          <w:szCs w:val="24"/>
        </w:rPr>
        <w:t>MiSeq</w:t>
      </w:r>
      <w:r w:rsidRPr="1F50A2A6" w:rsidR="005F01B0">
        <w:rPr>
          <w:rFonts w:ascii="Calibri" w:hAnsi="Calibri" w:eastAsia="Calibri" w:cs="Calibri" w:asciiTheme="minorAscii" w:hAnsiTheme="minorAscii" w:eastAsiaTheme="minorAscii" w:cstheme="minorAscii"/>
          <w:sz w:val="24"/>
          <w:szCs w:val="24"/>
        </w:rPr>
        <w:t xml:space="preserve"> instruments, as well as necessary ancillary equipment for all sequence preparation and quality control. </w:t>
      </w:r>
    </w:p>
    <w:p w:rsidRPr="003313DA" w:rsidR="005F01B0" w:rsidP="1F50A2A6" w:rsidRDefault="005F01B0" w14:paraId="427D6004" w14:textId="77777777" w14:noSpellErr="1">
      <w:pPr>
        <w:spacing w:line="240" w:lineRule="auto"/>
        <w:rPr>
          <w:rFonts w:ascii="Calibri" w:hAnsi="Calibri" w:eastAsia="Calibri" w:cs="Calibri" w:asciiTheme="minorAscii" w:hAnsiTheme="minorAscii" w:eastAsiaTheme="minorAscii" w:cstheme="minorAscii"/>
          <w:sz w:val="24"/>
          <w:szCs w:val="24"/>
        </w:rPr>
      </w:pPr>
    </w:p>
    <w:p w:rsidR="005F01B0" w:rsidP="1F50A2A6" w:rsidRDefault="005F01B0" w14:paraId="18A836ED" w14:textId="1B049799">
      <w:pPr>
        <w:spacing w:line="240" w:lineRule="auto"/>
        <w:rPr>
          <w:rFonts w:ascii="Calibri" w:hAnsi="Calibri" w:eastAsia="Calibri" w:cs="Calibri" w:asciiTheme="minorAscii" w:hAnsiTheme="minorAscii" w:eastAsiaTheme="minorAscii" w:cstheme="minorAscii"/>
          <w:b w:val="1"/>
          <w:bCs w:val="1"/>
          <w:sz w:val="24"/>
          <w:szCs w:val="24"/>
        </w:rPr>
      </w:pPr>
      <w:r w:rsidRPr="1F50A2A6" w:rsidR="005F01B0">
        <w:rPr>
          <w:rFonts w:ascii="Calibri" w:hAnsi="Calibri" w:eastAsia="Calibri" w:cs="Calibri" w:asciiTheme="minorAscii" w:hAnsiTheme="minorAscii" w:eastAsiaTheme="minorAscii" w:cstheme="minorAscii"/>
          <w:b w:val="1"/>
          <w:bCs w:val="1"/>
          <w:sz w:val="24"/>
          <w:szCs w:val="24"/>
        </w:rPr>
        <w:t>10x Genomic Single Cell Services</w:t>
      </w:r>
    </w:p>
    <w:p w:rsidR="005F01B0" w:rsidP="1F50A2A6" w:rsidRDefault="005F01B0" w14:paraId="1BAFA3CC" w14:textId="0A5AED02">
      <w:pPr>
        <w:spacing w:line="240" w:lineRule="auto"/>
        <w:rPr>
          <w:rFonts w:ascii="Calibri" w:hAnsi="Calibri" w:eastAsia="Calibri" w:cs="Calibri" w:asciiTheme="minorAscii" w:hAnsiTheme="minorAscii" w:eastAsiaTheme="minorAscii" w:cstheme="minorAscii"/>
          <w:sz w:val="24"/>
          <w:szCs w:val="24"/>
        </w:rPr>
      </w:pPr>
      <w:r w:rsidRPr="1F50A2A6" w:rsidR="005F01B0">
        <w:rPr>
          <w:rFonts w:ascii="Calibri" w:hAnsi="Calibri" w:eastAsia="Calibri" w:cs="Calibri" w:asciiTheme="minorAscii" w:hAnsiTheme="minorAscii" w:eastAsiaTheme="minorAscii" w:cstheme="minorAscii"/>
          <w:sz w:val="24"/>
          <w:szCs w:val="24"/>
        </w:rPr>
        <w:t xml:space="preserve">Services in single cell library preparation are available using the 10x Genomics Chromium system. The Chromium System </w:t>
      </w:r>
      <w:r w:rsidRPr="1F50A2A6" w:rsidR="005F01B0">
        <w:rPr>
          <w:rFonts w:ascii="Calibri" w:hAnsi="Calibri" w:eastAsia="Calibri" w:cs="Calibri" w:asciiTheme="minorAscii" w:hAnsiTheme="minorAscii" w:eastAsiaTheme="minorAscii" w:cstheme="minorAscii"/>
          <w:sz w:val="24"/>
          <w:szCs w:val="24"/>
        </w:rPr>
        <w:t>provides for</w:t>
      </w:r>
      <w:r w:rsidRPr="1F50A2A6" w:rsidR="005F01B0">
        <w:rPr>
          <w:rFonts w:ascii="Calibri" w:hAnsi="Calibri" w:eastAsia="Calibri" w:cs="Calibri" w:asciiTheme="minorAscii" w:hAnsiTheme="minorAscii" w:eastAsiaTheme="minorAscii" w:cstheme="minorAscii"/>
          <w:sz w:val="24"/>
          <w:szCs w:val="24"/>
        </w:rPr>
        <w:t xml:space="preserve"> the massive partitioning and barcoding of single cells using &gt;1,000,000 unique barcodes. </w:t>
      </w:r>
      <w:r w:rsidRPr="1F50A2A6" w:rsidR="005F01B0">
        <w:rPr>
          <w:rFonts w:ascii="Calibri" w:hAnsi="Calibri" w:eastAsia="Calibri" w:cs="Calibri" w:asciiTheme="minorAscii" w:hAnsiTheme="minorAscii" w:eastAsiaTheme="minorAscii" w:cstheme="minorAscii"/>
          <w:sz w:val="24"/>
          <w:szCs w:val="24"/>
        </w:rPr>
        <w:t xml:space="preserve">At the heart of the Chromium System is 10x </w:t>
      </w:r>
      <w:r w:rsidRPr="1F50A2A6" w:rsidR="005F01B0">
        <w:rPr>
          <w:rFonts w:ascii="Calibri" w:hAnsi="Calibri" w:eastAsia="Calibri" w:cs="Calibri" w:asciiTheme="minorAscii" w:hAnsiTheme="minorAscii" w:eastAsiaTheme="minorAscii" w:cstheme="minorAscii"/>
          <w:sz w:val="24"/>
          <w:szCs w:val="24"/>
        </w:rPr>
        <w:t>GemCode</w:t>
      </w:r>
      <w:r w:rsidRPr="1F50A2A6" w:rsidR="005F01B0">
        <w:rPr>
          <w:rFonts w:ascii="Calibri" w:hAnsi="Calibri" w:eastAsia="Calibri" w:cs="Calibri" w:asciiTheme="minorAscii" w:hAnsiTheme="minorAscii" w:eastAsiaTheme="minorAscii" w:cstheme="minorAscii"/>
          <w:sz w:val="24"/>
          <w:szCs w:val="24"/>
        </w:rPr>
        <w:t>™ Technology.</w:t>
      </w:r>
      <w:r w:rsidRPr="1F50A2A6" w:rsidR="005F01B0">
        <w:rPr>
          <w:rFonts w:ascii="Calibri" w:hAnsi="Calibri" w:eastAsia="Calibri" w:cs="Calibri" w:asciiTheme="minorAscii" w:hAnsiTheme="minorAscii" w:eastAsiaTheme="minorAscii" w:cstheme="minorAscii"/>
          <w:sz w:val="24"/>
          <w:szCs w:val="24"/>
        </w:rPr>
        <w:t xml:space="preserve"> Partitioning events occur on a microfluidic chip in the presence of barcoded gel</w:t>
      </w:r>
      <w:r w:rsidRPr="1F50A2A6" w:rsidR="6FA7E6B2">
        <w:rPr>
          <w:rFonts w:ascii="Calibri" w:hAnsi="Calibri" w:eastAsia="Calibri" w:cs="Calibri" w:asciiTheme="minorAscii" w:hAnsiTheme="minorAscii" w:eastAsiaTheme="minorAscii" w:cstheme="minorAscii"/>
          <w:sz w:val="24"/>
          <w:szCs w:val="24"/>
        </w:rPr>
        <w:t xml:space="preserve"> </w:t>
      </w:r>
    </w:p>
    <w:p w:rsidR="005F01B0" w:rsidP="1F50A2A6" w:rsidRDefault="005F01B0" w14:paraId="5ED9480D" w14:textId="7A013DD0">
      <w:pPr>
        <w:spacing w:line="240" w:lineRule="auto"/>
        <w:rPr>
          <w:rFonts w:ascii="Calibri" w:hAnsi="Calibri" w:eastAsia="Calibri" w:cs="Calibri" w:asciiTheme="minorAscii" w:hAnsiTheme="minorAscii" w:eastAsiaTheme="minorAscii" w:cstheme="minorAscii"/>
          <w:sz w:val="24"/>
          <w:szCs w:val="24"/>
        </w:rPr>
      </w:pPr>
      <w:r w:rsidRPr="1F50A2A6" w:rsidR="6FA7E6B2">
        <w:rPr>
          <w:rFonts w:ascii="Calibri" w:hAnsi="Calibri" w:eastAsia="Calibri" w:cs="Calibri" w:asciiTheme="minorAscii" w:hAnsiTheme="minorAscii" w:eastAsiaTheme="minorAscii" w:cstheme="minorAscii"/>
          <w:sz w:val="24"/>
          <w:szCs w:val="24"/>
        </w:rPr>
        <w:t>b</w:t>
      </w:r>
      <w:r w:rsidRPr="1F50A2A6" w:rsidR="005F01B0">
        <w:rPr>
          <w:rFonts w:ascii="Calibri" w:hAnsi="Calibri" w:eastAsia="Calibri" w:cs="Calibri" w:asciiTheme="minorAscii" w:hAnsiTheme="minorAscii" w:eastAsiaTheme="minorAscii" w:cstheme="minorAscii"/>
          <w:sz w:val="24"/>
          <w:szCs w:val="24"/>
        </w:rPr>
        <w:t xml:space="preserve">eads and oil to create GEMs (Gel Bead in </w:t>
      </w:r>
      <w:r w:rsidRPr="1F50A2A6" w:rsidR="005F01B0">
        <w:rPr>
          <w:rFonts w:ascii="Calibri" w:hAnsi="Calibri" w:eastAsia="Calibri" w:cs="Calibri" w:asciiTheme="minorAscii" w:hAnsiTheme="minorAscii" w:eastAsiaTheme="minorAscii" w:cstheme="minorAscii"/>
          <w:sz w:val="24"/>
          <w:szCs w:val="24"/>
        </w:rPr>
        <w:t>E</w:t>
      </w:r>
      <w:r w:rsidRPr="1F50A2A6" w:rsidR="5B4353F1">
        <w:rPr>
          <w:rFonts w:ascii="Calibri" w:hAnsi="Calibri" w:eastAsia="Calibri" w:cs="Calibri" w:asciiTheme="minorAscii" w:hAnsiTheme="minorAscii" w:eastAsiaTheme="minorAscii" w:cstheme="minorAscii"/>
          <w:sz w:val="24"/>
          <w:szCs w:val="24"/>
        </w:rPr>
        <w:t>m</w:t>
      </w:r>
      <w:r w:rsidRPr="1F50A2A6" w:rsidR="005F01B0">
        <w:rPr>
          <w:rFonts w:ascii="Calibri" w:hAnsi="Calibri" w:eastAsia="Calibri" w:cs="Calibri" w:asciiTheme="minorAscii" w:hAnsiTheme="minorAscii" w:eastAsiaTheme="minorAscii" w:cstheme="minorAscii"/>
          <w:sz w:val="24"/>
          <w:szCs w:val="24"/>
        </w:rPr>
        <w:t>ulsion</w:t>
      </w:r>
      <w:r w:rsidRPr="1F50A2A6" w:rsidR="005F01B0">
        <w:rPr>
          <w:rFonts w:ascii="Calibri" w:hAnsi="Calibri" w:eastAsia="Calibri" w:cs="Calibri" w:asciiTheme="minorAscii" w:hAnsiTheme="minorAscii" w:eastAsiaTheme="minorAscii" w:cstheme="minorAscii"/>
          <w:sz w:val="24"/>
          <w:szCs w:val="24"/>
        </w:rPr>
        <w:t>). As many as 10,000 cells per sample are encapsulated in nano-liter scale GEMs. Final amplification and library construction will be performed in bulk after GEMs are broken. Resulting libraries are compatible with Illumina sequencing platforms.</w:t>
      </w:r>
    </w:p>
    <w:p w:rsidR="005F01B0" w:rsidP="1F50A2A6" w:rsidRDefault="005F01B0" w14:paraId="50AE0951" w14:textId="77777777" w14:noSpellErr="1">
      <w:pPr>
        <w:spacing w:line="240" w:lineRule="auto"/>
        <w:rPr>
          <w:rFonts w:ascii="Calibri" w:hAnsi="Calibri" w:eastAsia="Calibri" w:cs="Calibri" w:asciiTheme="minorAscii" w:hAnsiTheme="minorAscii" w:eastAsiaTheme="minorAscii" w:cstheme="minorAscii"/>
          <w:sz w:val="24"/>
          <w:szCs w:val="24"/>
        </w:rPr>
      </w:pPr>
    </w:p>
    <w:p w:rsidR="005F01B0" w:rsidP="1F50A2A6" w:rsidRDefault="005F01B0" w14:paraId="17E25DE3" w14:textId="1D00EAEC">
      <w:pPr>
        <w:rPr>
          <w:rFonts w:ascii="Calibri" w:hAnsi="Calibri" w:eastAsia="Calibri" w:cs="Calibri" w:asciiTheme="minorAscii" w:hAnsiTheme="minorAscii" w:eastAsiaTheme="minorAscii" w:cstheme="minorAscii"/>
          <w:b w:val="1"/>
          <w:bCs w:val="1"/>
          <w:sz w:val="24"/>
          <w:szCs w:val="24"/>
        </w:rPr>
      </w:pPr>
      <w:r w:rsidRPr="1F50A2A6" w:rsidR="005F01B0">
        <w:rPr>
          <w:rFonts w:ascii="Calibri" w:hAnsi="Calibri" w:eastAsia="Calibri" w:cs="Calibri" w:asciiTheme="minorAscii" w:hAnsiTheme="minorAscii" w:eastAsiaTheme="minorAscii" w:cstheme="minorAscii"/>
          <w:b w:val="1"/>
          <w:bCs w:val="1"/>
          <w:sz w:val="24"/>
          <w:szCs w:val="24"/>
        </w:rPr>
        <w:t>Fragment Analysis Services</w:t>
      </w:r>
      <w:proofErr w:type="spellStart"/>
      <w:proofErr w:type="spellEnd"/>
      <w:proofErr w:type="gramStart"/>
      <w:proofErr w:type="gramEnd"/>
    </w:p>
    <w:p w:rsidR="005F01B0" w:rsidP="1F50A2A6" w:rsidRDefault="005F01B0" w14:paraId="359875A7" w14:textId="6F6C3AEB">
      <w:pPr>
        <w:rPr>
          <w:rFonts w:ascii="Calibri" w:hAnsi="Calibri" w:eastAsia="Calibri" w:cs="Calibri" w:asciiTheme="minorAscii" w:hAnsiTheme="minorAscii" w:eastAsiaTheme="minorAscii" w:cstheme="minorAscii"/>
          <w:sz w:val="24"/>
          <w:szCs w:val="24"/>
        </w:rPr>
      </w:pPr>
      <w:r w:rsidRPr="1F50A2A6" w:rsidR="005F01B0">
        <w:rPr>
          <w:rFonts w:ascii="Calibri" w:hAnsi="Calibri" w:eastAsia="Calibri" w:cs="Calibri" w:asciiTheme="minorAscii" w:hAnsiTheme="minorAscii" w:eastAsiaTheme="minorAscii" w:cstheme="minorAscii"/>
          <w:sz w:val="24"/>
          <w:szCs w:val="24"/>
        </w:rPr>
        <w:t>The Genomics Technology Core, using the ABI 3730xl DNA Analyzer, has the capability to rapidly size DNA fragments, such as</w:t>
      </w:r>
      <w:r w:rsidRPr="1F50A2A6" w:rsidR="1A283E4A">
        <w:rPr>
          <w:rFonts w:ascii="Calibri" w:hAnsi="Calibri" w:eastAsia="Calibri" w:cs="Calibri" w:asciiTheme="minorAscii" w:hAnsiTheme="minorAscii" w:eastAsiaTheme="minorAscii" w:cstheme="minorAscii"/>
          <w:sz w:val="24"/>
          <w:szCs w:val="24"/>
        </w:rPr>
        <w:t xml:space="preserve"> </w:t>
      </w:r>
      <w:r w:rsidRPr="1F50A2A6" w:rsidR="005F01B0">
        <w:rPr>
          <w:rFonts w:ascii="Calibri" w:hAnsi="Calibri" w:eastAsia="Calibri" w:cs="Calibri" w:asciiTheme="minorAscii" w:hAnsiTheme="minorAscii" w:eastAsiaTheme="minorAscii" w:cstheme="minorAscii"/>
          <w:sz w:val="24"/>
          <w:szCs w:val="24"/>
        </w:rPr>
        <w:t xml:space="preserve">microsatellites (random </w:t>
      </w:r>
      <w:r w:rsidRPr="1F50A2A6" w:rsidR="5CF770E9">
        <w:rPr>
          <w:rFonts w:ascii="Calibri" w:hAnsi="Calibri" w:eastAsia="Calibri" w:cs="Calibri" w:asciiTheme="minorAscii" w:hAnsiTheme="minorAscii" w:eastAsiaTheme="minorAscii" w:cstheme="minorAscii"/>
          <w:sz w:val="24"/>
          <w:szCs w:val="24"/>
        </w:rPr>
        <w:t>two to six</w:t>
      </w:r>
      <w:r w:rsidRPr="1F50A2A6" w:rsidR="005F01B0">
        <w:rPr>
          <w:rFonts w:ascii="Calibri" w:hAnsi="Calibri" w:eastAsia="Calibri" w:cs="Calibri" w:asciiTheme="minorAscii" w:hAnsiTheme="minorAscii" w:eastAsiaTheme="minorAscii" w:cstheme="minorAscii"/>
          <w:sz w:val="24"/>
          <w:szCs w:val="24"/>
        </w:rPr>
        <w:t xml:space="preserve"> base pair repeats) and AFLPs (amplified fragment length polymorphisms).</w:t>
      </w:r>
      <w:r w:rsidRPr="1F50A2A6" w:rsidR="005F01B0">
        <w:rPr>
          <w:rFonts w:ascii="Calibri" w:hAnsi="Calibri" w:eastAsia="Calibri" w:cs="Calibri" w:asciiTheme="minorAscii" w:hAnsiTheme="minorAscii" w:eastAsiaTheme="minorAscii" w:cstheme="minorAscii"/>
          <w:sz w:val="24"/>
          <w:szCs w:val="24"/>
        </w:rPr>
        <w:t xml:space="preserve"> </w:t>
      </w:r>
      <w:r w:rsidRPr="1F50A2A6" w:rsidR="005F01B0">
        <w:rPr>
          <w:rFonts w:ascii="Calibri" w:hAnsi="Calibri" w:eastAsia="Calibri" w:cs="Calibri" w:asciiTheme="minorAscii" w:hAnsiTheme="minorAscii" w:eastAsiaTheme="minorAscii" w:cstheme="minorAscii"/>
          <w:sz w:val="24"/>
          <w:szCs w:val="24"/>
        </w:rPr>
        <w:t>The ABI 3730xl DNA Analyzer allows for the use of a fluorescence-based detection system that automates the process.</w:t>
      </w:r>
      <w:r w:rsidRPr="1F50A2A6" w:rsidR="005F01B0">
        <w:rPr>
          <w:rFonts w:ascii="Calibri" w:hAnsi="Calibri" w:eastAsia="Calibri" w:cs="Calibri" w:asciiTheme="minorAscii" w:hAnsiTheme="minorAscii" w:eastAsiaTheme="minorAscii" w:cstheme="minorAscii"/>
          <w:sz w:val="24"/>
          <w:szCs w:val="24"/>
        </w:rPr>
        <w:t xml:space="preserve"> </w:t>
      </w:r>
      <w:r w:rsidRPr="1F50A2A6" w:rsidR="005F01B0">
        <w:rPr>
          <w:rFonts w:ascii="Calibri" w:hAnsi="Calibri" w:eastAsia="Calibri" w:cs="Calibri" w:asciiTheme="minorAscii" w:hAnsiTheme="minorAscii" w:eastAsiaTheme="minorAscii" w:cstheme="minorAscii"/>
          <w:sz w:val="24"/>
          <w:szCs w:val="24"/>
        </w:rPr>
        <w:t>Fluorescent dyes are incorporated into the DNA fragment using fluorescence-labeled primers. An internal lane standard that ranges from 20-600 bases (</w:t>
      </w:r>
      <w:r w:rsidRPr="1F50A2A6" w:rsidR="005F01B0">
        <w:rPr>
          <w:rFonts w:ascii="Calibri" w:hAnsi="Calibri" w:eastAsia="Calibri" w:cs="Calibri" w:asciiTheme="minorAscii" w:hAnsiTheme="minorAscii" w:eastAsiaTheme="minorAscii" w:cstheme="minorAscii"/>
          <w:sz w:val="24"/>
          <w:szCs w:val="24"/>
        </w:rPr>
        <w:t>Genescan</w:t>
      </w:r>
      <w:r w:rsidRPr="1F50A2A6" w:rsidR="005F01B0">
        <w:rPr>
          <w:rFonts w:ascii="Calibri" w:hAnsi="Calibri" w:eastAsia="Calibri" w:cs="Calibri" w:asciiTheme="minorAscii" w:hAnsiTheme="minorAscii" w:eastAsiaTheme="minorAscii" w:cstheme="minorAscii"/>
          <w:sz w:val="24"/>
          <w:szCs w:val="24"/>
        </w:rPr>
        <w:t xml:space="preserve"> 600 LIZ) is added to each sample for precise sizing of each fragment adjusting for </w:t>
      </w:r>
      <w:r w:rsidRPr="1F50A2A6" w:rsidR="23264D3F">
        <w:rPr>
          <w:rFonts w:ascii="Calibri" w:hAnsi="Calibri" w:eastAsia="Calibri" w:cs="Calibri" w:asciiTheme="minorAscii" w:hAnsiTheme="minorAscii" w:eastAsiaTheme="minorAscii" w:cstheme="minorAscii"/>
          <w:sz w:val="24"/>
          <w:szCs w:val="24"/>
        </w:rPr>
        <w:t>lane-to-lane</w:t>
      </w:r>
      <w:r w:rsidRPr="1F50A2A6" w:rsidR="005F01B0">
        <w:rPr>
          <w:rFonts w:ascii="Calibri" w:hAnsi="Calibri" w:eastAsia="Calibri" w:cs="Calibri" w:asciiTheme="minorAscii" w:hAnsiTheme="minorAscii" w:eastAsiaTheme="minorAscii" w:cstheme="minorAscii"/>
          <w:sz w:val="24"/>
          <w:szCs w:val="24"/>
        </w:rPr>
        <w:t xml:space="preserve"> variation. A distinct advantage to the fluorescence-based system is the availability of four dyes allowing the multiplexing of multiple samples in a single lane. Eight samples can reliably be multiplexed in each well of a 96-well plate allowing hundreds of loci to be analyzed in a single day.</w:t>
      </w:r>
    </w:p>
    <w:p w:rsidR="005F01B0" w:rsidP="1F50A2A6" w:rsidRDefault="005F01B0" w14:paraId="34E64A94" w14:textId="77777777" w14:noSpellErr="1">
      <w:pPr>
        <w:spacing w:line="240" w:lineRule="auto"/>
        <w:rPr>
          <w:rFonts w:ascii="Calibri" w:hAnsi="Calibri" w:eastAsia="Calibri" w:cs="Calibri" w:asciiTheme="minorAscii" w:hAnsiTheme="minorAscii" w:eastAsiaTheme="minorAscii" w:cstheme="minorAscii"/>
          <w:sz w:val="24"/>
          <w:szCs w:val="24"/>
        </w:rPr>
      </w:pPr>
    </w:p>
    <w:p w:rsidRPr="005F01B0" w:rsidR="009C2277" w:rsidP="1F50A2A6" w:rsidRDefault="009C2277" w14:paraId="086757C2" w14:textId="343E8FC3">
      <w:pPr>
        <w:spacing w:line="240" w:lineRule="auto"/>
        <w:rPr>
          <w:rFonts w:ascii="Calibri" w:hAnsi="Calibri" w:eastAsia="Calibri" w:cs="Calibri" w:asciiTheme="minorAscii" w:hAnsiTheme="minorAscii" w:eastAsiaTheme="minorAscii" w:cstheme="minorAscii"/>
          <w:b w:val="1"/>
          <w:bCs w:val="1"/>
          <w:sz w:val="24"/>
          <w:szCs w:val="24"/>
        </w:rPr>
      </w:pPr>
      <w:r w:rsidRPr="1F50A2A6" w:rsidR="005F01B0">
        <w:rPr>
          <w:rFonts w:ascii="Calibri" w:hAnsi="Calibri" w:eastAsia="Calibri" w:cs="Calibri" w:asciiTheme="minorAscii" w:hAnsiTheme="minorAscii" w:eastAsiaTheme="minorAscii" w:cstheme="minorAscii"/>
          <w:b w:val="1"/>
          <w:bCs w:val="1"/>
          <w:sz w:val="24"/>
          <w:szCs w:val="24"/>
        </w:rPr>
        <w:t>Enzyme Freezer Program</w:t>
      </w:r>
    </w:p>
    <w:p w:rsidRPr="005F01B0" w:rsidR="009C2277" w:rsidP="1F50A2A6" w:rsidRDefault="009C2277" w14:paraId="668AB253" w14:textId="2AC47F72">
      <w:pPr>
        <w:spacing w:line="240" w:lineRule="auto"/>
        <w:rPr>
          <w:rFonts w:ascii="Calibri" w:hAnsi="Calibri" w:eastAsia="Calibri" w:cs="Calibri" w:asciiTheme="minorAscii" w:hAnsiTheme="minorAscii" w:eastAsiaTheme="minorAscii" w:cstheme="minorAscii"/>
          <w:sz w:val="24"/>
          <w:szCs w:val="24"/>
        </w:rPr>
      </w:pPr>
      <w:r w:rsidRPr="1F50A2A6" w:rsidR="005F01B0">
        <w:rPr>
          <w:rFonts w:ascii="Calibri" w:hAnsi="Calibri" w:eastAsia="Calibri" w:cs="Calibri" w:asciiTheme="minorAscii" w:hAnsiTheme="minorAscii" w:eastAsiaTheme="minorAscii" w:cstheme="minorAscii"/>
          <w:sz w:val="24"/>
          <w:szCs w:val="24"/>
        </w:rPr>
        <w:t xml:space="preserve">The Genomics Technology Core </w:t>
      </w:r>
      <w:r w:rsidRPr="1F50A2A6" w:rsidR="005F01B0">
        <w:rPr>
          <w:rFonts w:ascii="Calibri" w:hAnsi="Calibri" w:eastAsia="Calibri" w:cs="Calibri" w:asciiTheme="minorAscii" w:hAnsiTheme="minorAscii" w:eastAsiaTheme="minorAscii" w:cstheme="minorAscii"/>
          <w:sz w:val="24"/>
          <w:szCs w:val="24"/>
        </w:rPr>
        <w:t>maintains</w:t>
      </w:r>
      <w:r w:rsidRPr="1F50A2A6" w:rsidR="005F01B0">
        <w:rPr>
          <w:rFonts w:ascii="Calibri" w:hAnsi="Calibri" w:eastAsia="Calibri" w:cs="Calibri" w:asciiTheme="minorAscii" w:hAnsiTheme="minorAscii" w:eastAsiaTheme="minorAscii" w:cstheme="minorAscii"/>
          <w:sz w:val="24"/>
          <w:szCs w:val="24"/>
        </w:rPr>
        <w:t xml:space="preserve"> stocks of common molecular biology reagents for purchase from several vendors. Substantial cost savings and convenient access to products for campus researchers are the primary benefits of the Enzyme Freezer Program.</w:t>
      </w:r>
    </w:p>
    <w:sectPr w:rsidRPr="005F01B0" w:rsidR="009C22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6E03"/>
    <w:multiLevelType w:val="hybridMultilevel"/>
    <w:tmpl w:val="102E1290"/>
    <w:lvl w:ilvl="0" w:tplc="FFFFFFFF">
      <w:start w:val="1"/>
      <w:numFmt w:val="bullet"/>
      <w:lvlText w:val=""/>
      <w:lvlJc w:val="left"/>
      <w:pPr>
        <w:ind w:left="720" w:hanging="360"/>
      </w:pPr>
      <w:rPr>
        <w:rFonts w:hint="default" w:ascii="Symbol" w:hAnsi="Symbol"/>
      </w:rPr>
    </w:lvl>
    <w:lvl w:ilvl="1" w:tplc="CC30E324">
      <w:start w:val="1"/>
      <w:numFmt w:val="bullet"/>
      <w:lvlText w:val="o"/>
      <w:lvlJc w:val="left"/>
      <w:pPr>
        <w:ind w:left="1440" w:hanging="360"/>
      </w:pPr>
      <w:rPr>
        <w:rFonts w:hint="default" w:ascii="Courier New" w:hAnsi="Courier New"/>
      </w:rPr>
    </w:lvl>
    <w:lvl w:ilvl="2" w:tplc="8FF6389C">
      <w:start w:val="1"/>
      <w:numFmt w:val="bullet"/>
      <w:lvlText w:val=""/>
      <w:lvlJc w:val="left"/>
      <w:pPr>
        <w:ind w:left="2160" w:hanging="360"/>
      </w:pPr>
      <w:rPr>
        <w:rFonts w:hint="default" w:ascii="Wingdings" w:hAnsi="Wingdings"/>
      </w:rPr>
    </w:lvl>
    <w:lvl w:ilvl="3" w:tplc="38768B00">
      <w:start w:val="1"/>
      <w:numFmt w:val="bullet"/>
      <w:lvlText w:val=""/>
      <w:lvlJc w:val="left"/>
      <w:pPr>
        <w:ind w:left="2880" w:hanging="360"/>
      </w:pPr>
      <w:rPr>
        <w:rFonts w:hint="default" w:ascii="Symbol" w:hAnsi="Symbol"/>
      </w:rPr>
    </w:lvl>
    <w:lvl w:ilvl="4" w:tplc="20187F4C">
      <w:start w:val="1"/>
      <w:numFmt w:val="bullet"/>
      <w:lvlText w:val="o"/>
      <w:lvlJc w:val="left"/>
      <w:pPr>
        <w:ind w:left="3600" w:hanging="360"/>
      </w:pPr>
      <w:rPr>
        <w:rFonts w:hint="default" w:ascii="Courier New" w:hAnsi="Courier New"/>
      </w:rPr>
    </w:lvl>
    <w:lvl w:ilvl="5" w:tplc="EB9A170C">
      <w:start w:val="1"/>
      <w:numFmt w:val="bullet"/>
      <w:lvlText w:val=""/>
      <w:lvlJc w:val="left"/>
      <w:pPr>
        <w:ind w:left="4320" w:hanging="360"/>
      </w:pPr>
      <w:rPr>
        <w:rFonts w:hint="default" w:ascii="Wingdings" w:hAnsi="Wingdings"/>
      </w:rPr>
    </w:lvl>
    <w:lvl w:ilvl="6" w:tplc="7780DA26">
      <w:start w:val="1"/>
      <w:numFmt w:val="bullet"/>
      <w:lvlText w:val=""/>
      <w:lvlJc w:val="left"/>
      <w:pPr>
        <w:ind w:left="5040" w:hanging="360"/>
      </w:pPr>
      <w:rPr>
        <w:rFonts w:hint="default" w:ascii="Symbol" w:hAnsi="Symbol"/>
      </w:rPr>
    </w:lvl>
    <w:lvl w:ilvl="7" w:tplc="A4409C2C">
      <w:start w:val="1"/>
      <w:numFmt w:val="bullet"/>
      <w:lvlText w:val="o"/>
      <w:lvlJc w:val="left"/>
      <w:pPr>
        <w:ind w:left="5760" w:hanging="360"/>
      </w:pPr>
      <w:rPr>
        <w:rFonts w:hint="default" w:ascii="Courier New" w:hAnsi="Courier New"/>
      </w:rPr>
    </w:lvl>
    <w:lvl w:ilvl="8" w:tplc="E2C8CE26">
      <w:start w:val="1"/>
      <w:numFmt w:val="bullet"/>
      <w:lvlText w:val=""/>
      <w:lvlJc w:val="left"/>
      <w:pPr>
        <w:ind w:left="6480" w:hanging="360"/>
      </w:pPr>
      <w:rPr>
        <w:rFonts w:hint="default" w:ascii="Wingdings" w:hAnsi="Wingdings"/>
      </w:rPr>
    </w:lvl>
  </w:abstractNum>
  <w:num w:numId="1" w16cid:durableId="27348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0C"/>
    <w:rsid w:val="00012632"/>
    <w:rsid w:val="00096F2D"/>
    <w:rsid w:val="0029740F"/>
    <w:rsid w:val="005F01B0"/>
    <w:rsid w:val="00725675"/>
    <w:rsid w:val="009C2277"/>
    <w:rsid w:val="00AD290C"/>
    <w:rsid w:val="00E8525B"/>
    <w:rsid w:val="0C6EDE3E"/>
    <w:rsid w:val="1A283E4A"/>
    <w:rsid w:val="1A5C1CFA"/>
    <w:rsid w:val="1D9D7050"/>
    <w:rsid w:val="1DDC0E4B"/>
    <w:rsid w:val="1F50A2A6"/>
    <w:rsid w:val="23264D3F"/>
    <w:rsid w:val="383510F6"/>
    <w:rsid w:val="38C06095"/>
    <w:rsid w:val="595362F3"/>
    <w:rsid w:val="59AE1A62"/>
    <w:rsid w:val="5B4353F1"/>
    <w:rsid w:val="5CF770E9"/>
    <w:rsid w:val="601D5BE6"/>
    <w:rsid w:val="61B92C47"/>
    <w:rsid w:val="6C8AAA38"/>
    <w:rsid w:val="6D33C392"/>
    <w:rsid w:val="6E5F4C40"/>
    <w:rsid w:val="6FA7E6B2"/>
    <w:rsid w:val="703B6D36"/>
    <w:rsid w:val="739A59F6"/>
    <w:rsid w:val="782D56BE"/>
    <w:rsid w:val="7CB7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E6BA"/>
  <w15:chartTrackingRefBased/>
  <w15:docId w15:val="{B0AC843B-5F28-4EE2-9D48-A5BB4CEE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290C"/>
    <w:pPr>
      <w:spacing w:after="0"/>
    </w:pPr>
    <w:rPr>
      <w:rFonts w:ascii="Arial" w:hAnsi="Arial" w:cs="Arial"/>
    </w:rPr>
  </w:style>
  <w:style w:type="paragraph" w:styleId="Heading2">
    <w:name w:val="heading 2"/>
    <w:basedOn w:val="Normal"/>
    <w:next w:val="Normal"/>
    <w:link w:val="Heading2Char"/>
    <w:uiPriority w:val="9"/>
    <w:semiHidden/>
    <w:unhideWhenUsed/>
    <w:qFormat/>
    <w:rsid w:val="00AD290C"/>
    <w:pPr>
      <w:outlineLvl w:val="1"/>
    </w:pPr>
    <w:rPr>
      <w:b/>
      <w:bCs/>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AD290C"/>
    <w:rPr>
      <w:rFonts w:ascii="Arial" w:hAnsi="Arial" w:cs="Arial"/>
      <w:b/>
      <w:bCs/>
      <w:i/>
      <w:iCs/>
      <w:sz w:val="24"/>
      <w:szCs w:val="24"/>
    </w:rPr>
  </w:style>
  <w:style w:type="paragraph" w:styleId="ListParagraph">
    <w:name w:val="List Paragraph"/>
    <w:basedOn w:val="Normal"/>
    <w:uiPriority w:val="34"/>
    <w:qFormat/>
    <w:rsid w:val="00096F2D"/>
    <w:pPr>
      <w:ind w:left="720"/>
      <w:contextualSpacing/>
    </w:pPr>
    <w:rPr>
      <w:rFonts w:ascii="Times" w:hAnsi="Times" w:eastAsia="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hyperlink" Target="https://dnacore.missouri.edu/" TargetMode="External" Id="R681ed7d7955a45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E29F3881-800D-499E-A8BC-851CF5CF62F2}"/>
</file>

<file path=customXml/itemProps2.xml><?xml version="1.0" encoding="utf-8"?>
<ds:datastoreItem xmlns:ds="http://schemas.openxmlformats.org/officeDocument/2006/customXml" ds:itemID="{10E27581-7A50-415F-8C87-E36AA73209A6}"/>
</file>

<file path=customXml/itemProps3.xml><?xml version="1.0" encoding="utf-8"?>
<ds:datastoreItem xmlns:ds="http://schemas.openxmlformats.org/officeDocument/2006/customXml" ds:itemID="{436D80FA-D7FD-479B-B26B-2EACBE32FA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Polasky, Sarah</dc:creator>
  <keywords/>
  <dc:description/>
  <lastModifiedBy>Bruno, Angela</lastModifiedBy>
  <revision>4</revision>
  <dcterms:created xsi:type="dcterms:W3CDTF">2023-05-11T16:03:00.0000000Z</dcterms:created>
  <dcterms:modified xsi:type="dcterms:W3CDTF">2023-09-11T20:43:50.6578780Z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