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740101" wp14:paraId="0AF3A7B4" wp14:textId="70C4772E">
      <w:pPr>
        <w:pStyle w:val="Heading3"/>
        <w:jc w:val="center"/>
      </w:pPr>
      <w:r w:rsidRPr="66740101" w:rsidR="22D11D9A">
        <w:rPr>
          <w:rFonts w:ascii="Calibri" w:hAnsi="Calibri" w:eastAsia="Calibri" w:cs="Calibri"/>
          <w:b w:val="1"/>
          <w:bCs w:val="1"/>
          <w:noProof w:val="0"/>
          <w:color w:val="111111"/>
          <w:sz w:val="28"/>
          <w:szCs w:val="28"/>
          <w:lang w:val="en-US"/>
        </w:rPr>
        <w:t>NextGen Precision Health initiative and</w:t>
      </w:r>
    </w:p>
    <w:p xmlns:wp14="http://schemas.microsoft.com/office/word/2010/wordml" w:rsidP="66740101" wp14:paraId="32218C29" wp14:textId="0D0F6D80">
      <w:pPr>
        <w:pStyle w:val="Heading3"/>
        <w:jc w:val="center"/>
      </w:pPr>
      <w:r w:rsidRPr="66740101" w:rsidR="22D11D9A">
        <w:rPr>
          <w:rFonts w:ascii="Calibri" w:hAnsi="Calibri" w:eastAsia="Calibri" w:cs="Calibri"/>
          <w:b w:val="1"/>
          <w:bCs w:val="1"/>
          <w:noProof w:val="0"/>
          <w:color w:val="111111"/>
          <w:sz w:val="28"/>
          <w:szCs w:val="28"/>
          <w:lang w:val="en-US"/>
        </w:rPr>
        <w:t>Roy Blunt NextGen Precision Health building</w:t>
      </w:r>
    </w:p>
    <w:p xmlns:wp14="http://schemas.microsoft.com/office/word/2010/wordml" w:rsidP="7BFF3D7C" wp14:paraId="3042FFB2" wp14:textId="76A5B44B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FF3D7C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info: </w:t>
      </w:r>
      <w:hyperlink r:id="R7d50894e6eff4f52">
        <w:r w:rsidRPr="7BFF3D7C" w:rsidR="22D11D9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954F72"/>
            <w:sz w:val="24"/>
            <w:szCs w:val="24"/>
            <w:lang w:val="en-US"/>
          </w:rPr>
          <w:t>https://precisionhealth.missouri.edu</w:t>
        </w:r>
        <w:r>
          <w:br/>
        </w:r>
      </w:hyperlink>
    </w:p>
    <w:p xmlns:wp14="http://schemas.microsoft.com/office/word/2010/wordml" w:rsidP="66740101" wp14:paraId="2C078E63" wp14:textId="08E20F99">
      <w:pPr>
        <w:pStyle w:val="Heading2"/>
      </w:pP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Highlighting the promise of personalized health care and the impact of large-scale interdisciplinary collaboration, the NextGen Precision Health initiative is bringing together innovators from across the University of Missouri and the UM System’s three other research universities in pursuit of life-changing precision health advancements. </w:t>
      </w: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It’s</w:t>
      </w: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collaborative effort to </w:t>
      </w: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leverage</w:t>
      </w: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research strengths of Mizzou toward a better future for the health of Missourians and beyond.</w:t>
      </w: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Roy Blunt NextGen Precision Health building at MU anchors the overall initiative and expands collaboration between researchers, </w:t>
      </w: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clinicians,</w:t>
      </w: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industry partners in the </w:t>
      </w: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state-of-the-art</w:t>
      </w:r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research facility. The building is the largest research investment on campus, spanning four stories and </w:t>
      </w:r>
      <w:bookmarkStart w:name="_Int_JXkDkboY" w:id="143127841"/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265,000 square feet</w:t>
      </w:r>
      <w:bookmarkEnd w:id="143127841"/>
      <w:r w:rsidRPr="66740101" w:rsidR="22D11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The NextGen building includes both dry and wet labs, integrated informatics and visualization spaces, a tissue engineering and device fabrication lab, and a Siemens MAGNETON Terra 7 Tesla MRI.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XkDkboY" int2:invalidationBookmarkName="" int2:hashCode="hvxqVznSfLNiTv" int2:id="c46Wa6Wh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FD3B"/>
    <w:rsid w:val="0018FD3B"/>
    <w:rsid w:val="22D11D9A"/>
    <w:rsid w:val="66740101"/>
    <w:rsid w:val="7B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FD3B"/>
  <w15:chartTrackingRefBased/>
  <w15:docId w15:val="{DABDF0A9-3087-4D93-B699-750E34293E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f3079f4ecb5496b" /><Relationship Type="http://schemas.openxmlformats.org/officeDocument/2006/relationships/hyperlink" Target="https://precisionhealth.missouri.edu/" TargetMode="External" Id="R7d50894e6eff4f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2023-09-11T15:30:31.8399281Z</dcterms:created>
  <dcterms:modified xsi:type="dcterms:W3CDTF">2023-09-11T20:40:43.3076708Z</dcterms:modified>
  <dc:creator>Stewart, Shea</dc:creator>
  <lastModifiedBy>Bruno, Angela</lastModifiedBy>
</coreProperties>
</file>