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26D946" wp14:paraId="20CF9DFC" wp14:textId="5638DDCA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</w:pPr>
      <w:r w:rsidRPr="4D26D946" w:rsidR="41A1B0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  <w:t>MU Metagenomics Center</w:t>
      </w:r>
    </w:p>
    <w:p xmlns:wp14="http://schemas.microsoft.com/office/word/2010/wordml" w:rsidP="49434DFE" wp14:paraId="5A1DE177" wp14:textId="75242486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434DFE" w:rsidR="41A1B0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42cf52b43c48479c">
        <w:r w:rsidRPr="49434DFE" w:rsidR="41A1B0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http://mumc.missouri.edu</w:t>
        </w:r>
        <w:r>
          <w:br/>
        </w:r>
      </w:hyperlink>
    </w:p>
    <w:p xmlns:wp14="http://schemas.microsoft.com/office/word/2010/wordml" w:rsidP="4D26D946" wp14:paraId="2C078E63" wp14:textId="28BE1B94">
      <w:pPr>
        <w:pStyle w:val="Heading2"/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</w:pP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The MU Metagenomics Center (MUMC) is closely affiliated with the NIH-funded MU Mutant Mouse Resource and Research Center (MMRRC) and Rat Resource and Research Center (RRRC) and is managed and 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o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perated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 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by the same team of experts. 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Drawing on over 100 years of combined experience in translational biomedical research, the MUMC team has the passion and 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e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xpertise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 </w:t>
      </w:r>
      <w:r w:rsidRPr="4D26D946" w:rsidR="41A1B07A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to help researchers reach their goals.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33D82"/>
    <w:rsid w:val="1E333D82"/>
    <w:rsid w:val="41A1B07A"/>
    <w:rsid w:val="49434DFE"/>
    <w:rsid w:val="4D26D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BB0F"/>
  <w15:chartTrackingRefBased/>
  <w15:docId w15:val="{92C92E31-7187-4F0E-8807-E00B9ABBAC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mumc.missouri.edu/" TargetMode="External" Id="R42cf52b43c4847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2023-09-11T14:28:53.1227245Z</dcterms:created>
  <dcterms:modified xsi:type="dcterms:W3CDTF">2023-09-11T20:39:17.3412384Z</dcterms:modified>
  <dc:creator>Stewart, Shea</dc:creator>
  <lastModifiedBy>Bruno, Angela</lastModifiedBy>
</coreProperties>
</file>